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1A547" w14:textId="77777777" w:rsidR="00E64D2E" w:rsidRDefault="00405246">
      <w:pPr>
        <w:spacing w:after="200"/>
        <w:jc w:val="center"/>
        <w:rPr>
          <w:rFonts w:ascii="Arial" w:hAnsi="Arial" w:cs="Arial"/>
          <w:b/>
          <w:u w:val="single"/>
          <w:lang w:eastAsia="es-PE"/>
        </w:rPr>
      </w:pPr>
      <w:bookmarkStart w:id="0" w:name="_GoBack"/>
      <w:bookmarkEnd w:id="0"/>
      <w:r>
        <w:rPr>
          <w:rFonts w:ascii="Arial" w:hAnsi="Arial" w:cs="Arial"/>
          <w:b/>
          <w:u w:val="single"/>
          <w:lang w:eastAsia="es-PE"/>
        </w:rPr>
        <w:t>PERU</w:t>
      </w:r>
    </w:p>
    <w:p w14:paraId="1AFE6040" w14:textId="77777777" w:rsidR="00E64D2E" w:rsidRDefault="00405246">
      <w:pPr>
        <w:spacing w:after="200"/>
        <w:jc w:val="center"/>
        <w:rPr>
          <w:rFonts w:ascii="Arial" w:hAnsi="Arial" w:cs="Arial"/>
          <w:b/>
          <w:smallCaps/>
          <w:sz w:val="28"/>
          <w:szCs w:val="28"/>
          <w:lang w:eastAsia="es-PE"/>
        </w:rPr>
      </w:pPr>
      <w:r>
        <w:rPr>
          <w:rFonts w:ascii="Arial" w:hAnsi="Arial" w:cs="Arial"/>
          <w:b/>
          <w:smallCaps/>
          <w:sz w:val="28"/>
          <w:szCs w:val="28"/>
          <w:lang w:eastAsia="es-PE"/>
        </w:rPr>
        <w:t>Propiedad Intelectual y comercialización de resultados de investigación</w:t>
      </w:r>
    </w:p>
    <w:p w14:paraId="2BBF275B" w14:textId="77777777" w:rsidR="00E64D2E" w:rsidRDefault="00405246">
      <w:pPr>
        <w:spacing w:after="200"/>
        <w:jc w:val="center"/>
        <w:rPr>
          <w:rFonts w:ascii="Arial Narrow" w:hAnsi="Arial Narrow" w:cs="Arial"/>
          <w:b/>
          <w:lang w:eastAsia="es-PE"/>
        </w:rPr>
      </w:pPr>
      <w:r>
        <w:rPr>
          <w:rFonts w:ascii="Arial Narrow" w:hAnsi="Arial Narrow" w:cs="Arial"/>
          <w:b/>
          <w:lang w:eastAsia="es-PE"/>
        </w:rPr>
        <w:t xml:space="preserve">Unidad Coordinadora del Programa de Ciencia y Tecnología - </w:t>
      </w:r>
      <w:proofErr w:type="spellStart"/>
      <w:r>
        <w:rPr>
          <w:rFonts w:ascii="Arial Narrow" w:hAnsi="Arial Narrow" w:cs="Arial"/>
          <w:b/>
          <w:lang w:eastAsia="es-PE"/>
        </w:rPr>
        <w:t>FINCyT</w:t>
      </w:r>
      <w:proofErr w:type="spellEnd"/>
    </w:p>
    <w:p w14:paraId="5F55990F" w14:textId="71D13176" w:rsidR="00E64D2E" w:rsidRDefault="00405246">
      <w:pPr>
        <w:spacing w:after="200"/>
        <w:jc w:val="center"/>
        <w:rPr>
          <w:rFonts w:ascii="Arial" w:hAnsi="Arial" w:cs="Arial"/>
          <w:b/>
          <w:lang w:eastAsia="es-PE"/>
        </w:rPr>
      </w:pPr>
      <w:r>
        <w:rPr>
          <w:rFonts w:ascii="Arial" w:hAnsi="Arial" w:cs="Arial"/>
          <w:b/>
          <w:lang w:eastAsia="es-PE"/>
        </w:rPr>
        <w:t xml:space="preserve">Consultoría para realizar una evaluación </w:t>
      </w:r>
      <w:r w:rsidR="00CE430F">
        <w:rPr>
          <w:rFonts w:ascii="Arial" w:hAnsi="Arial" w:cs="Arial"/>
          <w:b/>
          <w:lang w:eastAsia="es-PE"/>
        </w:rPr>
        <w:t xml:space="preserve">y propuesta </w:t>
      </w:r>
      <w:r>
        <w:rPr>
          <w:rFonts w:ascii="Arial" w:hAnsi="Arial" w:cs="Arial"/>
          <w:b/>
          <w:lang w:eastAsia="es-PE"/>
        </w:rPr>
        <w:t>del marco legal de protección y explotación de los derechos de propiedad intelectual de los resultados de investigaciones financiadas con fondos públicos</w:t>
      </w:r>
      <w:r w:rsidR="003866C7">
        <w:rPr>
          <w:rFonts w:ascii="Arial" w:hAnsi="Arial" w:cs="Arial"/>
          <w:b/>
          <w:lang w:eastAsia="es-PE"/>
        </w:rPr>
        <w:t xml:space="preserve"> </w:t>
      </w:r>
      <w:r>
        <w:rPr>
          <w:rFonts w:ascii="Arial" w:hAnsi="Arial" w:cs="Arial"/>
          <w:b/>
          <w:lang w:eastAsia="es-PE"/>
        </w:rPr>
        <w:t>y cofinanciadas con el sector privado u organismos sin fines de lucro.</w:t>
      </w:r>
    </w:p>
    <w:p w14:paraId="71DDCDD5" w14:textId="77777777" w:rsidR="00E64D2E" w:rsidRDefault="00405246">
      <w:pPr>
        <w:spacing w:after="200"/>
        <w:jc w:val="center"/>
        <w:rPr>
          <w:rFonts w:ascii="Arial" w:hAnsi="Arial" w:cs="Arial"/>
          <w:b/>
          <w:lang w:eastAsia="es-PE"/>
        </w:rPr>
      </w:pPr>
      <w:r>
        <w:rPr>
          <w:rFonts w:ascii="Arial" w:hAnsi="Arial" w:cs="Arial"/>
          <w:b/>
          <w:lang w:eastAsia="es-PE"/>
        </w:rPr>
        <w:t>TERMINOS DE REFERENCIA</w:t>
      </w:r>
    </w:p>
    <w:p w14:paraId="652E481B" w14:textId="77777777" w:rsidR="00E64D2E" w:rsidRDefault="00E64D2E">
      <w:pPr>
        <w:spacing w:after="200"/>
        <w:jc w:val="center"/>
        <w:rPr>
          <w:rFonts w:ascii="Arial" w:hAnsi="Arial" w:cs="Arial"/>
          <w:b/>
          <w:lang w:eastAsia="es-PE"/>
        </w:rPr>
      </w:pPr>
    </w:p>
    <w:p w14:paraId="3B912B05" w14:textId="77777777" w:rsidR="00E64D2E" w:rsidRDefault="00405246">
      <w:pPr>
        <w:pStyle w:val="Encabezado1"/>
        <w:numPr>
          <w:ilvl w:val="0"/>
          <w:numId w:val="1"/>
        </w:numPr>
      </w:pPr>
      <w:r>
        <w:t>Antecedentes</w:t>
      </w:r>
    </w:p>
    <w:p w14:paraId="03232C36" w14:textId="786B4A2F" w:rsidR="00CE430F" w:rsidRDefault="00405246" w:rsidP="00605685">
      <w:pPr>
        <w:pStyle w:val="Cuerpodetexto"/>
        <w:rPr>
          <w:rFonts w:cstheme="minorHAnsi"/>
          <w:color w:val="auto"/>
        </w:rPr>
      </w:pPr>
      <w:r>
        <w:rPr>
          <w:rFonts w:cs="Arial"/>
          <w:lang w:eastAsia="es-PE"/>
        </w:rPr>
        <w:t>El 28 de setiembre de 2012 el Gobierno de la República del Perú firmó el contrato de préstamo 2693/OC-PE con el Banco Interamericano de Desarrollo (BID) para contribuir a la consolidación y el dinamismo del mercado de innovación tecnológica para el incremento de la competitividad del Perú.</w:t>
      </w:r>
      <w:r w:rsidR="00CE430F">
        <w:rPr>
          <w:rFonts w:cs="Arial"/>
          <w:lang w:eastAsia="es-PE"/>
        </w:rPr>
        <w:t xml:space="preserve"> </w:t>
      </w:r>
      <w:r w:rsidR="00CE430F">
        <w:rPr>
          <w:rFonts w:cstheme="minorHAnsi"/>
        </w:rPr>
        <w:t xml:space="preserve">FINCYT </w:t>
      </w:r>
      <w:r w:rsidR="00CE430F" w:rsidRPr="00605685">
        <w:t>utilizará</w:t>
      </w:r>
      <w:r w:rsidR="00CE430F">
        <w:rPr>
          <w:rFonts w:cstheme="minorHAnsi"/>
        </w:rPr>
        <w:t xml:space="preserve">  los recursos </w:t>
      </w:r>
      <w:r w:rsidR="00CE430F">
        <w:rPr>
          <w:rFonts w:cs="Arial"/>
          <w:lang w:eastAsia="es-PE"/>
        </w:rPr>
        <w:t xml:space="preserve">del </w:t>
      </w:r>
      <w:r w:rsidR="00CE430F">
        <w:rPr>
          <w:rFonts w:cstheme="minorHAnsi"/>
        </w:rPr>
        <w:t xml:space="preserve">componente 3.2 del citado préstamo: “Estudios para la promoción y desarrollo del mercado de innovación” para financiar la </w:t>
      </w:r>
      <w:r w:rsidR="00CE430F">
        <w:rPr>
          <w:rFonts w:cs="Arial"/>
          <w:lang w:eastAsia="es-PE"/>
        </w:rPr>
        <w:t xml:space="preserve"> presente consultoría</w:t>
      </w:r>
      <w:r w:rsidR="00CE430F">
        <w:rPr>
          <w:rFonts w:cstheme="minorHAnsi"/>
        </w:rPr>
        <w:t>.</w:t>
      </w:r>
    </w:p>
    <w:p w14:paraId="4B2C3848" w14:textId="3B6FEF00" w:rsidR="00E64D2E" w:rsidRDefault="00E64D2E">
      <w:pPr>
        <w:pStyle w:val="Cuerpodetexto"/>
        <w:rPr>
          <w:rFonts w:cs="Arial"/>
          <w:lang w:eastAsia="es-PE"/>
        </w:rPr>
      </w:pPr>
    </w:p>
    <w:p w14:paraId="7A77F759" w14:textId="77777777" w:rsidR="00E64D2E" w:rsidRDefault="00E64D2E">
      <w:pPr>
        <w:pStyle w:val="Cuerpodetexto"/>
      </w:pPr>
    </w:p>
    <w:p w14:paraId="6758FF53" w14:textId="77777777" w:rsidR="00E64D2E" w:rsidRDefault="00405246">
      <w:pPr>
        <w:pStyle w:val="Encabezado1"/>
        <w:numPr>
          <w:ilvl w:val="0"/>
          <w:numId w:val="1"/>
        </w:numPr>
        <w:rPr>
          <w:rFonts w:cs="Arial"/>
          <w:lang w:val="es-PE" w:eastAsia="es-PE"/>
        </w:rPr>
      </w:pPr>
      <w:r>
        <w:rPr>
          <w:rFonts w:cs="Arial"/>
          <w:lang w:val="es-PE" w:eastAsia="es-PE"/>
        </w:rPr>
        <w:t>Objetivos De La Consultoría</w:t>
      </w:r>
    </w:p>
    <w:p w14:paraId="5C4805DE" w14:textId="07D2A144" w:rsidR="00E64D2E" w:rsidRDefault="00405246">
      <w:pPr>
        <w:pStyle w:val="Cuerpodetexto"/>
      </w:pPr>
      <w:r>
        <w:t>Realizar una evaluación del marco legal de protección y explotación de los derechos de propiedad intelectual de los resultados de investigaciones financiadas con fondos públicos</w:t>
      </w:r>
      <w:r w:rsidR="00FE61DD">
        <w:t xml:space="preserve">, </w:t>
      </w:r>
      <w:r>
        <w:t xml:space="preserve"> y </w:t>
      </w:r>
      <w:r w:rsidR="00FF3E57">
        <w:t xml:space="preserve">financiadas </w:t>
      </w:r>
      <w:r w:rsidR="00A52503">
        <w:t xml:space="preserve">y </w:t>
      </w:r>
      <w:r>
        <w:t xml:space="preserve">cofinanciadas </w:t>
      </w:r>
      <w:r w:rsidR="00FF3E57">
        <w:t xml:space="preserve">por </w:t>
      </w:r>
      <w:r>
        <w:t>el sector privado u organismos sin fines de lucro</w:t>
      </w:r>
      <w:r w:rsidR="003866C7">
        <w:t>.</w:t>
      </w:r>
      <w:r w:rsidR="00FE61DD">
        <w:t xml:space="preserve"> Este análisis debe incluir </w:t>
      </w:r>
      <w:r>
        <w:t>la identificación del marco legal, procedimientos administrativos y contractuales, tanto en las etapas de investigación, obtención de patentes y su comercialización, así como la elaboración de propuestas normativas, tanto legislativas como reglamentarias, y medidas provisorias contractuales que garanticen un tratamiento homogéneo.</w:t>
      </w:r>
    </w:p>
    <w:p w14:paraId="5215F302" w14:textId="77777777" w:rsidR="00E64D2E" w:rsidRDefault="00E64D2E">
      <w:pPr>
        <w:pStyle w:val="Cuerpodetexto"/>
      </w:pPr>
    </w:p>
    <w:p w14:paraId="2F187A01" w14:textId="77777777" w:rsidR="00E64D2E" w:rsidRDefault="00405246">
      <w:pPr>
        <w:pStyle w:val="Encabezado1"/>
        <w:numPr>
          <w:ilvl w:val="0"/>
          <w:numId w:val="1"/>
        </w:numPr>
      </w:pPr>
      <w:r>
        <w:t xml:space="preserve">Metodología  </w:t>
      </w:r>
    </w:p>
    <w:p w14:paraId="590D4FE1" w14:textId="77777777" w:rsidR="00E64D2E" w:rsidRDefault="00405246">
      <w:pPr>
        <w:pStyle w:val="Cuerpodetexto"/>
      </w:pPr>
      <w:r>
        <w:t>Durante la consultoría se deberá realizar:</w:t>
      </w:r>
    </w:p>
    <w:p w14:paraId="6EBE4A92" w14:textId="77777777" w:rsidR="00E64D2E" w:rsidRDefault="00405246">
      <w:pPr>
        <w:pStyle w:val="Cuerpodetexto"/>
        <w:numPr>
          <w:ilvl w:val="0"/>
          <w:numId w:val="2"/>
        </w:numPr>
        <w:rPr>
          <w:b/>
          <w:bCs/>
        </w:rPr>
      </w:pPr>
      <w:r>
        <w:rPr>
          <w:b/>
          <w:bCs/>
        </w:rPr>
        <w:t>Estudios de gabinete</w:t>
      </w:r>
    </w:p>
    <w:p w14:paraId="153FA918" w14:textId="77777777" w:rsidR="00E64D2E" w:rsidRDefault="00405246">
      <w:pPr>
        <w:pStyle w:val="Cuerpodetexto"/>
        <w:numPr>
          <w:ilvl w:val="1"/>
          <w:numId w:val="2"/>
        </w:numPr>
      </w:pPr>
      <w:r>
        <w:t>Revisión del marco legal de protección y explotación de los derechos de propiedad intelectual de los resultados de las investigaciones, con especial relevancia en la identificación sobre la titularidad y participación de los beneficios de explotación de los actores involucrados.</w:t>
      </w:r>
    </w:p>
    <w:p w14:paraId="4646C07B" w14:textId="77777777" w:rsidR="00E64D2E" w:rsidRDefault="00405246">
      <w:pPr>
        <w:pStyle w:val="Cuerpodetexto"/>
        <w:numPr>
          <w:ilvl w:val="1"/>
          <w:numId w:val="2"/>
        </w:numPr>
      </w:pPr>
      <w:r>
        <w:lastRenderedPageBreak/>
        <w:t>Revisión de los procedimientos de protección y explotación de los derechos de propiedad intelectual de los resultados de las investigaciones desde el inicio de la investigación hasta la comercialización de patentes, identificando las etapas, los plazos, los costos, los roles y las responsabilidades de cada actor involucrado en el proceso. Se incluirá los procesos de reclamo de titularidad, mecanismos de solución de controversias, y los procedimientos de obtención y comercialización de patentes nacionales e internacionales.</w:t>
      </w:r>
    </w:p>
    <w:p w14:paraId="6905D2FC" w14:textId="77777777" w:rsidR="00BF3C50" w:rsidRDefault="00BF3C50" w:rsidP="00BF3C50">
      <w:pPr>
        <w:pStyle w:val="Cuerpodetexto"/>
        <w:numPr>
          <w:ilvl w:val="1"/>
          <w:numId w:val="2"/>
        </w:numPr>
      </w:pPr>
      <w:r>
        <w:t>Identificar y sistematizar los distintos tipos de contratos usados en la protección y explotación de los resultados de las investigaciones</w:t>
      </w:r>
    </w:p>
    <w:p w14:paraId="2200495A" w14:textId="0EC9AD6A" w:rsidR="00FF3E57" w:rsidRDefault="00FF3E57" w:rsidP="00FF3E57">
      <w:pPr>
        <w:pStyle w:val="Cuerpodetexto"/>
        <w:numPr>
          <w:ilvl w:val="1"/>
          <w:numId w:val="2"/>
        </w:numPr>
      </w:pPr>
      <w:r>
        <w:t>Revisión de 1</w:t>
      </w:r>
      <w:r w:rsidR="00BF3C50">
        <w:t>4</w:t>
      </w:r>
      <w:r>
        <w:t xml:space="preserve"> contratos de protección y explotación de los derechos de propiedad intelectual de  resultados de investigaciones en las siguientes  universidades</w:t>
      </w:r>
      <w:r w:rsidR="00021B7D">
        <w:t xml:space="preserve"> e instituciones </w:t>
      </w:r>
      <w:r>
        <w:t xml:space="preserve">de investigación: </w:t>
      </w:r>
    </w:p>
    <w:p w14:paraId="38D4A821" w14:textId="43155B8D" w:rsidR="00FF3E57" w:rsidRDefault="00FF3E57" w:rsidP="00605685">
      <w:pPr>
        <w:pStyle w:val="Cuerpodetexto"/>
        <w:ind w:left="1929"/>
      </w:pPr>
      <w:r>
        <w:t xml:space="preserve">1) Universidad Católica (PUCP), </w:t>
      </w:r>
    </w:p>
    <w:p w14:paraId="07C8D93D" w14:textId="11B1A552" w:rsidR="00FF3E57" w:rsidRDefault="00FF3E57" w:rsidP="00605685">
      <w:pPr>
        <w:pStyle w:val="Cuerpodetexto"/>
        <w:ind w:left="1929"/>
      </w:pPr>
      <w:r>
        <w:t xml:space="preserve">2) </w:t>
      </w:r>
      <w:r w:rsidR="00BF3C50">
        <w:t xml:space="preserve">Universidad </w:t>
      </w:r>
      <w:r>
        <w:t xml:space="preserve">Cayetano Heredia (UPCH), </w:t>
      </w:r>
    </w:p>
    <w:p w14:paraId="7CF10EDB" w14:textId="671FF12F" w:rsidR="00FF3E57" w:rsidRDefault="00FF3E57" w:rsidP="00605685">
      <w:pPr>
        <w:pStyle w:val="Cuerpodetexto"/>
        <w:ind w:left="1929"/>
      </w:pPr>
      <w:r>
        <w:t xml:space="preserve">3) </w:t>
      </w:r>
      <w:r w:rsidR="00BF3C50">
        <w:t xml:space="preserve">Universidad </w:t>
      </w:r>
      <w:r>
        <w:t xml:space="preserve">Agraria La Molina (UNALM),  </w:t>
      </w:r>
    </w:p>
    <w:p w14:paraId="2F8CD1D5" w14:textId="77777777" w:rsidR="00FF3E57" w:rsidRPr="00BF3C50" w:rsidRDefault="00FF3E57" w:rsidP="00605685">
      <w:pPr>
        <w:pStyle w:val="Cuerpodetexto"/>
        <w:ind w:left="1929"/>
        <w:rPr>
          <w:rFonts w:cs="Arial"/>
        </w:rPr>
      </w:pPr>
      <w:r w:rsidRPr="00BF3C50">
        <w:rPr>
          <w:rFonts w:cs="Arial"/>
        </w:rPr>
        <w:t xml:space="preserve">4) San Marcos (UNMSM), </w:t>
      </w:r>
    </w:p>
    <w:p w14:paraId="3E66B0B0" w14:textId="679C2B6C" w:rsidR="00FF3E57" w:rsidRPr="00BF3C50" w:rsidRDefault="00FF3E57" w:rsidP="00605685">
      <w:pPr>
        <w:pStyle w:val="Cuerpodetexto"/>
        <w:ind w:left="1929"/>
        <w:rPr>
          <w:rFonts w:cs="Arial"/>
        </w:rPr>
      </w:pPr>
      <w:r w:rsidRPr="00BF3C50">
        <w:rPr>
          <w:rFonts w:cs="Arial"/>
        </w:rPr>
        <w:t xml:space="preserve">5) </w:t>
      </w:r>
      <w:r w:rsidRPr="00605685">
        <w:rPr>
          <w:rFonts w:cs="Arial"/>
          <w:color w:val="000000"/>
          <w:lang w:eastAsia="es-PE"/>
        </w:rPr>
        <w:t>Universidad Nacional de Ingeniería</w:t>
      </w:r>
      <w:r w:rsidRPr="00BF3C50">
        <w:rPr>
          <w:rFonts w:cs="Arial"/>
        </w:rPr>
        <w:t>.</w:t>
      </w:r>
    </w:p>
    <w:p w14:paraId="7269821B" w14:textId="7E8FA439" w:rsidR="00FF3E57" w:rsidRPr="00605685" w:rsidRDefault="00FF3E57" w:rsidP="00605685">
      <w:pPr>
        <w:pStyle w:val="Cuerpodetexto"/>
        <w:ind w:left="1929"/>
        <w:rPr>
          <w:rFonts w:cs="Arial"/>
          <w:color w:val="000000"/>
          <w:lang w:eastAsia="es-PE"/>
        </w:rPr>
      </w:pPr>
      <w:r w:rsidRPr="00BF3C50">
        <w:rPr>
          <w:rFonts w:cs="Arial"/>
        </w:rPr>
        <w:t xml:space="preserve">6) </w:t>
      </w:r>
      <w:r w:rsidR="00BF3C50" w:rsidRPr="00605685">
        <w:rPr>
          <w:rFonts w:cs="Arial"/>
          <w:color w:val="000000"/>
          <w:lang w:eastAsia="es-PE"/>
        </w:rPr>
        <w:t>Ministerio de Salud</w:t>
      </w:r>
    </w:p>
    <w:p w14:paraId="3F7CB67A" w14:textId="2C0A0DCB" w:rsidR="00BF3C50" w:rsidRPr="00605685" w:rsidRDefault="00BF3C50" w:rsidP="00605685">
      <w:pPr>
        <w:pStyle w:val="Cuerpodetexto"/>
        <w:ind w:left="1929"/>
        <w:rPr>
          <w:rFonts w:cs="Arial"/>
          <w:color w:val="000000"/>
          <w:lang w:eastAsia="es-PE"/>
        </w:rPr>
      </w:pPr>
      <w:r w:rsidRPr="00605685">
        <w:rPr>
          <w:rFonts w:cs="Arial"/>
          <w:color w:val="000000"/>
          <w:lang w:eastAsia="es-PE"/>
        </w:rPr>
        <w:t>7) Centro Internacional de la Papa</w:t>
      </w:r>
    </w:p>
    <w:p w14:paraId="6D3AACDE" w14:textId="77777777" w:rsidR="00BF3C50" w:rsidRDefault="00BF3C50" w:rsidP="00605685">
      <w:pPr>
        <w:pStyle w:val="Cuerpodetexto"/>
      </w:pPr>
    </w:p>
    <w:p w14:paraId="24367DF3" w14:textId="77777777" w:rsidR="00D326A7" w:rsidRDefault="00D326A7" w:rsidP="00605685">
      <w:pPr>
        <w:pStyle w:val="Cuerpodetexto"/>
      </w:pPr>
    </w:p>
    <w:p w14:paraId="4291F8D4" w14:textId="77777777" w:rsidR="00E64D2E" w:rsidRDefault="00405246">
      <w:pPr>
        <w:pStyle w:val="Cuerpodetexto"/>
        <w:numPr>
          <w:ilvl w:val="0"/>
          <w:numId w:val="2"/>
        </w:numPr>
        <w:rPr>
          <w:b/>
          <w:bCs/>
        </w:rPr>
      </w:pPr>
      <w:r>
        <w:rPr>
          <w:b/>
          <w:bCs/>
        </w:rPr>
        <w:t>Visitas de campo</w:t>
      </w:r>
    </w:p>
    <w:p w14:paraId="73529583" w14:textId="53C4AD93" w:rsidR="00D326A7" w:rsidRDefault="00D326A7" w:rsidP="00D326A7">
      <w:pPr>
        <w:pStyle w:val="Cuerpodetexto"/>
        <w:numPr>
          <w:ilvl w:val="1"/>
          <w:numId w:val="2"/>
        </w:numPr>
      </w:pPr>
      <w:r>
        <w:t xml:space="preserve">Entrevistas </w:t>
      </w:r>
      <w:r w:rsidR="00BF3C50">
        <w:t xml:space="preserve">y visitas institucionales </w:t>
      </w:r>
      <w:r>
        <w:t xml:space="preserve">con </w:t>
      </w:r>
      <w:r w:rsidR="00BF3C50">
        <w:t xml:space="preserve">áreas / </w:t>
      </w:r>
      <w:r>
        <w:t xml:space="preserve">oficinas de propiedad </w:t>
      </w:r>
      <w:r w:rsidR="009A283B">
        <w:t>intelectual</w:t>
      </w:r>
      <w:r>
        <w:t xml:space="preserve"> / transferencia tecnológica de las</w:t>
      </w:r>
      <w:r w:rsidR="00BF3C50">
        <w:t xml:space="preserve"> 7</w:t>
      </w:r>
      <w:r w:rsidR="00BF3C50" w:rsidRPr="00BF3C50">
        <w:t xml:space="preserve"> </w:t>
      </w:r>
      <w:r w:rsidR="00BF3C50">
        <w:t>universidades e institutos de investigación mencionado</w:t>
      </w:r>
      <w:r>
        <w:t xml:space="preserve">s. </w:t>
      </w:r>
    </w:p>
    <w:p w14:paraId="0E009786" w14:textId="165B8624" w:rsidR="00D326A7" w:rsidRDefault="00D326A7" w:rsidP="00D326A7">
      <w:pPr>
        <w:pStyle w:val="Cuerpodetexto"/>
        <w:numPr>
          <w:ilvl w:val="1"/>
          <w:numId w:val="2"/>
        </w:numPr>
      </w:pPr>
      <w:r>
        <w:t xml:space="preserve">Entrevistas </w:t>
      </w:r>
      <w:r w:rsidR="00BF3C50">
        <w:t xml:space="preserve">y visitas institucionales </w:t>
      </w:r>
      <w:r>
        <w:t xml:space="preserve">con investigadores/equipos de investigación signatarios de al menos 10 contratos de propiedad intelectual con  </w:t>
      </w:r>
      <w:r w:rsidR="00BF3C50">
        <w:t>universidades e institutos de investigación mencionados.</w:t>
      </w:r>
    </w:p>
    <w:p w14:paraId="28C1B5CC" w14:textId="78535DA0" w:rsidR="00E64D2E" w:rsidRDefault="00E64D2E" w:rsidP="00605685">
      <w:pPr>
        <w:pStyle w:val="Cuerpodetexto"/>
        <w:ind w:left="720"/>
      </w:pPr>
    </w:p>
    <w:p w14:paraId="2A680949" w14:textId="77777777" w:rsidR="00E64D2E" w:rsidRDefault="00405246">
      <w:pPr>
        <w:pStyle w:val="Cuerpodetexto"/>
        <w:numPr>
          <w:ilvl w:val="0"/>
          <w:numId w:val="2"/>
        </w:numPr>
        <w:rPr>
          <w:b/>
          <w:bCs/>
        </w:rPr>
      </w:pPr>
      <w:r>
        <w:rPr>
          <w:b/>
          <w:bCs/>
        </w:rPr>
        <w:t>Elaboración de propuestas</w:t>
      </w:r>
    </w:p>
    <w:p w14:paraId="7438F581" w14:textId="77777777" w:rsidR="00E64D2E" w:rsidRDefault="00405246">
      <w:pPr>
        <w:pStyle w:val="Cuerpodetexto"/>
        <w:numPr>
          <w:ilvl w:val="1"/>
          <w:numId w:val="4"/>
        </w:numPr>
      </w:pPr>
      <w:r>
        <w:t>Elaboración de propuestas legislativas y reglamentarias que garanticen un tratamiento homogéneo en la protección y explotación de los derechos de propiedad intelectual de los resultados de la investigación.</w:t>
      </w:r>
    </w:p>
    <w:p w14:paraId="482F5AB6" w14:textId="77777777" w:rsidR="00E64D2E" w:rsidRDefault="00405246">
      <w:pPr>
        <w:pStyle w:val="Cuerpodetexto"/>
        <w:numPr>
          <w:ilvl w:val="1"/>
          <w:numId w:val="2"/>
        </w:numPr>
      </w:pPr>
      <w:r>
        <w:t>Elaboración de medidas provisorias contractuales que definan la titularidad y participación de los beneficios en la explotación de los derechos intelectuales de los resultados de la investigación.</w:t>
      </w:r>
    </w:p>
    <w:p w14:paraId="5BB7D3E7" w14:textId="77777777" w:rsidR="00E64D2E" w:rsidRDefault="00405246">
      <w:pPr>
        <w:pStyle w:val="Cuerpodetexto"/>
        <w:numPr>
          <w:ilvl w:val="0"/>
          <w:numId w:val="2"/>
        </w:numPr>
        <w:rPr>
          <w:b/>
          <w:bCs/>
        </w:rPr>
      </w:pPr>
      <w:r>
        <w:rPr>
          <w:b/>
          <w:bCs/>
        </w:rPr>
        <w:lastRenderedPageBreak/>
        <w:t>Otros</w:t>
      </w:r>
    </w:p>
    <w:p w14:paraId="36493250" w14:textId="77777777" w:rsidR="00E64D2E" w:rsidRDefault="00405246">
      <w:pPr>
        <w:pStyle w:val="Cuerpodetexto"/>
        <w:numPr>
          <w:ilvl w:val="1"/>
          <w:numId w:val="2"/>
        </w:numPr>
      </w:pPr>
      <w:r>
        <w:t>Aquellas que</w:t>
      </w:r>
      <w:r w:rsidR="00FE61DD">
        <w:t xml:space="preserve"> el </w:t>
      </w:r>
      <w:r>
        <w:t xml:space="preserve"> consultor crea conveniente.</w:t>
      </w:r>
    </w:p>
    <w:p w14:paraId="311C0865" w14:textId="77777777" w:rsidR="00E64D2E" w:rsidRDefault="00E64D2E">
      <w:pPr>
        <w:pStyle w:val="Prrafodelista"/>
        <w:spacing w:after="200"/>
        <w:rPr>
          <w:rFonts w:ascii="Arial" w:hAnsi="Arial" w:cs="Arial"/>
          <w:color w:val="000000"/>
          <w:sz w:val="22"/>
          <w:szCs w:val="22"/>
          <w:lang w:val="es-ES"/>
        </w:rPr>
      </w:pPr>
    </w:p>
    <w:p w14:paraId="1B7AE2A9" w14:textId="77777777" w:rsidR="00E64D2E" w:rsidRDefault="00405246">
      <w:pPr>
        <w:pStyle w:val="Encabezado1"/>
        <w:numPr>
          <w:ilvl w:val="0"/>
          <w:numId w:val="1"/>
        </w:numPr>
      </w:pPr>
      <w:r>
        <w:t xml:space="preserve">Productos </w:t>
      </w:r>
    </w:p>
    <w:p w14:paraId="54562A4F" w14:textId="77777777" w:rsidR="00E64D2E" w:rsidRDefault="00405246">
      <w:pPr>
        <w:pStyle w:val="Cuerpodetexto"/>
        <w:rPr>
          <w:rFonts w:cs="Arial"/>
          <w:color w:val="000000"/>
          <w:lang w:val="es-ES"/>
        </w:rPr>
      </w:pPr>
      <w:r>
        <w:rPr>
          <w:rFonts w:cs="Arial"/>
          <w:color w:val="000000"/>
          <w:lang w:val="es-ES"/>
        </w:rPr>
        <w:t>Los productos a ser entregados por la consultoría son:</w:t>
      </w:r>
    </w:p>
    <w:p w14:paraId="08A20C64" w14:textId="77777777" w:rsidR="00E64D2E" w:rsidRDefault="00405246">
      <w:pPr>
        <w:pStyle w:val="Cuerpodetexto"/>
        <w:numPr>
          <w:ilvl w:val="0"/>
          <w:numId w:val="5"/>
        </w:numPr>
        <w:rPr>
          <w:rFonts w:cs="Arial"/>
          <w:color w:val="000000"/>
          <w:lang w:val="es-ES"/>
        </w:rPr>
      </w:pPr>
      <w:r>
        <w:rPr>
          <w:rFonts w:cs="Arial"/>
          <w:b/>
          <w:color w:val="000000"/>
          <w:u w:val="single"/>
          <w:lang w:val="es-ES"/>
        </w:rPr>
        <w:t>Primer Informe</w:t>
      </w:r>
      <w:r>
        <w:rPr>
          <w:rFonts w:cs="Arial"/>
          <w:color w:val="000000"/>
          <w:lang w:val="es-ES"/>
        </w:rPr>
        <w:t xml:space="preserve">, </w:t>
      </w:r>
    </w:p>
    <w:p w14:paraId="4BC21D30" w14:textId="77777777" w:rsidR="00E64D2E" w:rsidRDefault="00405246">
      <w:pPr>
        <w:pStyle w:val="Cuerpodetexto"/>
        <w:rPr>
          <w:rFonts w:cs="Arial"/>
          <w:color w:val="000000"/>
          <w:lang w:val="es-ES"/>
        </w:rPr>
      </w:pPr>
      <w:r>
        <w:rPr>
          <w:rFonts w:cs="Arial"/>
          <w:color w:val="000000"/>
          <w:lang w:val="es-ES"/>
        </w:rPr>
        <w:t>Plan de trabajo que contenga las estrategias para lograr el objetivo de la consultoría, este deberá incluir la descripción detallada del propósito, la naturaleza, la metodología, los procesos, los protocolos y las herramientas para la recolección estandarizada de información (encuestas,</w:t>
      </w:r>
      <w:r w:rsidR="00FE61DD">
        <w:rPr>
          <w:rFonts w:cs="Arial"/>
          <w:color w:val="000000"/>
          <w:lang w:val="es-ES"/>
        </w:rPr>
        <w:t xml:space="preserve"> entrevistas, </w:t>
      </w:r>
      <w:r>
        <w:rPr>
          <w:rFonts w:cs="Arial"/>
          <w:color w:val="000000"/>
          <w:lang w:val="es-ES"/>
        </w:rPr>
        <w:t>cuestionarios, entre otros), así como la propuesta de la metodología para el levantamiento de información  y otros que la consultora considere necesarios para el buen desenvolvimiento de la consultoría y el logro de los productos esperados.</w:t>
      </w:r>
    </w:p>
    <w:p w14:paraId="70E69180" w14:textId="77777777" w:rsidR="00E64D2E" w:rsidRDefault="00405246">
      <w:pPr>
        <w:pStyle w:val="Cuerpodetexto"/>
        <w:numPr>
          <w:ilvl w:val="0"/>
          <w:numId w:val="5"/>
        </w:numPr>
        <w:rPr>
          <w:rFonts w:cs="Arial"/>
          <w:b/>
          <w:color w:val="000000"/>
          <w:u w:val="single"/>
          <w:lang w:val="es-ES"/>
        </w:rPr>
      </w:pPr>
      <w:r>
        <w:rPr>
          <w:rFonts w:cs="Arial"/>
          <w:b/>
          <w:color w:val="000000"/>
          <w:u w:val="single"/>
          <w:lang w:val="es-ES"/>
        </w:rPr>
        <w:t>Segundo Informe,</w:t>
      </w:r>
    </w:p>
    <w:p w14:paraId="5868DE40" w14:textId="77777777" w:rsidR="00E64D2E" w:rsidRDefault="00405246">
      <w:pPr>
        <w:pStyle w:val="Cuerpodetexto"/>
        <w:rPr>
          <w:rFonts w:cs="Arial"/>
          <w:color w:val="000000"/>
          <w:lang w:val="es-ES"/>
        </w:rPr>
      </w:pPr>
      <w:r>
        <w:rPr>
          <w:rFonts w:cs="Arial"/>
          <w:color w:val="000000"/>
          <w:lang w:val="es-ES"/>
        </w:rPr>
        <w:t>Que contenga los resultados de la revisión del marco legal, procedimientos administrativos y contratos relacionados a la protección y explotación de los derechos de propiedad intelectual de los resultados de investigación. Asimismo, deberá contar con los resultados de la identificación y sistematización de los distintos tipos de contratos y trabas legales, administrativas y burocráticas relacionadas con la protección y explotación de los derechos de propiedad intelectual de los resultados de las investigaciones.</w:t>
      </w:r>
    </w:p>
    <w:p w14:paraId="2BD8D9B7" w14:textId="77777777" w:rsidR="009A283B" w:rsidRDefault="009A283B" w:rsidP="009A283B">
      <w:pPr>
        <w:pStyle w:val="Cuerpodetexto"/>
        <w:numPr>
          <w:ilvl w:val="0"/>
          <w:numId w:val="8"/>
        </w:numPr>
        <w:rPr>
          <w:rFonts w:cs="Arial"/>
          <w:b/>
          <w:color w:val="000000"/>
          <w:u w:val="single"/>
          <w:lang w:val="es-ES"/>
        </w:rPr>
      </w:pPr>
      <w:r w:rsidRPr="00CD1B56">
        <w:rPr>
          <w:rFonts w:cs="Arial"/>
          <w:b/>
          <w:color w:val="000000"/>
          <w:u w:val="single"/>
          <w:lang w:val="es-ES"/>
        </w:rPr>
        <w:t xml:space="preserve">   </w:t>
      </w:r>
      <w:r>
        <w:rPr>
          <w:rFonts w:cs="Arial"/>
          <w:b/>
          <w:color w:val="000000"/>
          <w:u w:val="single"/>
          <w:lang w:val="es-ES"/>
        </w:rPr>
        <w:t>Informe final,</w:t>
      </w:r>
    </w:p>
    <w:p w14:paraId="23F02ED5" w14:textId="77777777" w:rsidR="00FC24DF" w:rsidRDefault="00405246">
      <w:pPr>
        <w:pStyle w:val="Cuerpodetexto"/>
        <w:rPr>
          <w:rFonts w:cs="Arial"/>
          <w:color w:val="000000"/>
          <w:lang w:val="es-ES"/>
        </w:rPr>
      </w:pPr>
      <w:r>
        <w:rPr>
          <w:rFonts w:cs="Arial"/>
          <w:color w:val="000000"/>
          <w:lang w:val="es-ES"/>
        </w:rPr>
        <w:t>Que contenga un resumen ejecutivo de las actividades realizadas durante la consultoría, los comentarios, las conclusiones, las recomendaciones, las propuestas legislativas, las propuestas reglamentarias y las medidas provisorias contractuales.</w:t>
      </w:r>
      <w:r w:rsidR="00FC24DF">
        <w:rPr>
          <w:rFonts w:cs="Arial"/>
          <w:color w:val="000000"/>
          <w:lang w:val="es-ES"/>
        </w:rPr>
        <w:t xml:space="preserve"> </w:t>
      </w:r>
    </w:p>
    <w:p w14:paraId="1A6A7E58" w14:textId="66D08F9B" w:rsidR="001A4061" w:rsidRDefault="00405246">
      <w:pPr>
        <w:pStyle w:val="Cuerpodetexto"/>
        <w:rPr>
          <w:rFonts w:cs="Arial"/>
          <w:color w:val="000000"/>
          <w:lang w:val="es-ES"/>
        </w:rPr>
      </w:pPr>
      <w:r>
        <w:rPr>
          <w:rFonts w:cs="Arial"/>
          <w:color w:val="000000"/>
          <w:lang w:val="es-ES"/>
        </w:rPr>
        <w:t>Que contenga</w:t>
      </w:r>
      <w:r w:rsidR="001A4061">
        <w:rPr>
          <w:rFonts w:cs="Arial"/>
          <w:color w:val="000000"/>
          <w:lang w:val="es-ES"/>
        </w:rPr>
        <w:t xml:space="preserve"> la identificación y </w:t>
      </w:r>
      <w:r>
        <w:rPr>
          <w:rFonts w:cs="Arial"/>
          <w:color w:val="000000"/>
          <w:lang w:val="es-ES"/>
        </w:rPr>
        <w:t>evaluación del marco legal de protección y explotación de los derechos de propiedad intelectual de los resultados de investigaciones científicas financiadas con fondos públicos y cofinanciadas con el sector privado u organismos sin fines de lucro</w:t>
      </w:r>
      <w:r w:rsidR="00FC24DF">
        <w:rPr>
          <w:rFonts w:cs="Arial"/>
          <w:color w:val="000000"/>
          <w:lang w:val="es-ES"/>
        </w:rPr>
        <w:t>. Q</w:t>
      </w:r>
      <w:r>
        <w:rPr>
          <w:rFonts w:cs="Arial"/>
          <w:color w:val="000000"/>
          <w:lang w:val="es-ES"/>
        </w:rPr>
        <w:t xml:space="preserve">ue incluya </w:t>
      </w:r>
      <w:r w:rsidR="001A4061">
        <w:rPr>
          <w:rFonts w:cs="Arial"/>
          <w:color w:val="000000"/>
          <w:lang w:val="es-ES"/>
        </w:rPr>
        <w:t xml:space="preserve">la identificación y evaluación  de los </w:t>
      </w:r>
      <w:r>
        <w:rPr>
          <w:rFonts w:cs="Arial"/>
          <w:color w:val="000000"/>
          <w:lang w:val="es-ES"/>
        </w:rPr>
        <w:t>procedimientos administrativos y contractuales, tanto en las etapas de investigación, obtención de patentes y comercialización</w:t>
      </w:r>
      <w:r w:rsidR="001A4061">
        <w:rPr>
          <w:rFonts w:cs="Arial"/>
          <w:color w:val="000000"/>
          <w:lang w:val="es-ES"/>
        </w:rPr>
        <w:t xml:space="preserve">. </w:t>
      </w:r>
    </w:p>
    <w:p w14:paraId="4FDE6B1C" w14:textId="36F4A8EB" w:rsidR="00021B7D" w:rsidRDefault="001A4061">
      <w:pPr>
        <w:pStyle w:val="Cuerpodetexto"/>
        <w:rPr>
          <w:rFonts w:cs="Arial"/>
          <w:color w:val="000000"/>
          <w:lang w:val="es-ES"/>
        </w:rPr>
      </w:pPr>
      <w:r>
        <w:rPr>
          <w:rFonts w:cs="Arial"/>
          <w:color w:val="000000"/>
          <w:lang w:val="es-ES"/>
        </w:rPr>
        <w:t xml:space="preserve">Que incluya la sistematización de las experiencias en protección de propiedad intelectual </w:t>
      </w:r>
      <w:r w:rsidR="00021B7D">
        <w:rPr>
          <w:rFonts w:cs="Arial"/>
          <w:color w:val="000000"/>
          <w:lang w:val="es-ES"/>
        </w:rPr>
        <w:t xml:space="preserve">y comercialización de </w:t>
      </w:r>
      <w:r w:rsidR="00021B7D">
        <w:t>universidades e instituciones de investigación</w:t>
      </w:r>
      <w:r w:rsidR="00021B7D">
        <w:rPr>
          <w:rFonts w:cs="Arial"/>
          <w:color w:val="000000"/>
          <w:lang w:val="es-ES"/>
        </w:rPr>
        <w:t xml:space="preserve"> y equipos de investigación entrevistados.</w:t>
      </w:r>
    </w:p>
    <w:p w14:paraId="137E0367" w14:textId="63010102" w:rsidR="00E64D2E" w:rsidRDefault="001A4061">
      <w:pPr>
        <w:pStyle w:val="Cuerpodetexto"/>
        <w:rPr>
          <w:rFonts w:cs="Arial"/>
          <w:color w:val="000000"/>
          <w:lang w:val="es-ES"/>
        </w:rPr>
      </w:pPr>
      <w:r>
        <w:rPr>
          <w:rFonts w:cs="Arial"/>
          <w:color w:val="000000"/>
          <w:lang w:val="es-ES"/>
        </w:rPr>
        <w:t xml:space="preserve">Que </w:t>
      </w:r>
      <w:r w:rsidR="00021B7D">
        <w:rPr>
          <w:rFonts w:cs="Arial"/>
          <w:color w:val="000000"/>
          <w:lang w:val="es-ES"/>
        </w:rPr>
        <w:t>incluya</w:t>
      </w:r>
      <w:r>
        <w:rPr>
          <w:rFonts w:cs="Arial"/>
          <w:color w:val="000000"/>
          <w:lang w:val="es-ES"/>
        </w:rPr>
        <w:t xml:space="preserve"> la </w:t>
      </w:r>
      <w:r w:rsidR="00405246">
        <w:rPr>
          <w:rFonts w:cs="Arial"/>
          <w:color w:val="000000"/>
          <w:lang w:val="es-ES"/>
        </w:rPr>
        <w:t>elaboración de propuestas normativas, tanto legislativas como reglamentarias, y medidas provisorias contractuales que garanticen un tratamiento homogéneo. Se incorporan de manera consolidada las conclusiones, los comentarios y las recomendaciones expuestas en los informes previos.</w:t>
      </w:r>
    </w:p>
    <w:p w14:paraId="752450AB" w14:textId="77777777" w:rsidR="00FC24DF" w:rsidRDefault="00FC24DF" w:rsidP="00FC24DF">
      <w:pPr>
        <w:pStyle w:val="Cuerpodetexto"/>
        <w:rPr>
          <w:rFonts w:cs="Arial"/>
          <w:smallCaps/>
          <w:color w:val="000000"/>
          <w:lang w:val="es-ES"/>
        </w:rPr>
      </w:pPr>
      <w:r>
        <w:rPr>
          <w:rFonts w:cs="Arial"/>
          <w:color w:val="000000"/>
          <w:lang w:val="es-ES"/>
        </w:rPr>
        <w:lastRenderedPageBreak/>
        <w:t xml:space="preserve">Asimismo, se efectuará una presentación en formato </w:t>
      </w:r>
      <w:proofErr w:type="spellStart"/>
      <w:r>
        <w:rPr>
          <w:rFonts w:cs="Arial"/>
          <w:color w:val="000000"/>
          <w:lang w:val="es-ES"/>
        </w:rPr>
        <w:t>Power</w:t>
      </w:r>
      <w:proofErr w:type="spellEnd"/>
      <w:r>
        <w:rPr>
          <w:rFonts w:cs="Arial"/>
          <w:color w:val="000000"/>
          <w:lang w:val="es-ES"/>
        </w:rPr>
        <w:t xml:space="preserve"> Point,  incluyendo una exposición de los resultados de la consultoría a los representantes del </w:t>
      </w:r>
      <w:proofErr w:type="spellStart"/>
      <w:r>
        <w:rPr>
          <w:rFonts w:cs="Arial"/>
          <w:color w:val="000000"/>
          <w:lang w:val="es-ES"/>
        </w:rPr>
        <w:t>FINCyT</w:t>
      </w:r>
      <w:proofErr w:type="spellEnd"/>
      <w:r>
        <w:rPr>
          <w:rFonts w:cs="Arial"/>
          <w:smallCaps/>
          <w:color w:val="000000"/>
          <w:lang w:val="es-ES"/>
        </w:rPr>
        <w:t>, y CONCYTEC.</w:t>
      </w:r>
    </w:p>
    <w:p w14:paraId="543D0C29" w14:textId="77777777" w:rsidR="00FC24DF" w:rsidRDefault="00FC24DF">
      <w:pPr>
        <w:pStyle w:val="Cuerpodetexto"/>
        <w:rPr>
          <w:rFonts w:cs="Arial"/>
          <w:color w:val="000000"/>
          <w:lang w:val="es-ES"/>
        </w:rPr>
      </w:pPr>
    </w:p>
    <w:p w14:paraId="645544D5" w14:textId="77777777" w:rsidR="00E64D2E" w:rsidRDefault="00405246">
      <w:pPr>
        <w:pStyle w:val="Encabezado1"/>
        <w:numPr>
          <w:ilvl w:val="0"/>
          <w:numId w:val="1"/>
        </w:numPr>
      </w:pPr>
      <w:r>
        <w:t>Características de la Consultoría</w:t>
      </w:r>
    </w:p>
    <w:p w14:paraId="363E84FC" w14:textId="77777777" w:rsidR="00E64D2E" w:rsidRDefault="00E64D2E">
      <w:pPr>
        <w:pStyle w:val="Prrafodelista"/>
        <w:rPr>
          <w:rFonts w:ascii="Arial" w:hAnsi="Arial" w:cs="Arial"/>
          <w:b/>
          <w:smallCaps/>
          <w:sz w:val="22"/>
          <w:szCs w:val="22"/>
          <w:lang w:eastAsia="es-PE"/>
        </w:rPr>
      </w:pPr>
    </w:p>
    <w:p w14:paraId="178076B7" w14:textId="77777777" w:rsidR="00744BDF" w:rsidRPr="00744BDF" w:rsidRDefault="00744BDF" w:rsidP="00744BDF">
      <w:pPr>
        <w:spacing w:after="200"/>
        <w:rPr>
          <w:rFonts w:ascii="Arial" w:hAnsi="Arial" w:cs="Arial"/>
          <w:color w:val="000000"/>
          <w:sz w:val="22"/>
          <w:szCs w:val="22"/>
          <w:lang w:val="es-ES"/>
        </w:rPr>
      </w:pPr>
      <w:r w:rsidRPr="00744BDF">
        <w:rPr>
          <w:rFonts w:ascii="Arial" w:hAnsi="Arial" w:cs="Arial"/>
          <w:color w:val="000000"/>
          <w:sz w:val="22"/>
          <w:szCs w:val="22"/>
          <w:lang w:val="es-ES"/>
        </w:rPr>
        <w:t xml:space="preserve">La supervisión y seguimiento de las actividades de consultoría será realizada por La Dirección de Investigación y Estudios del CONCYTEC </w:t>
      </w:r>
    </w:p>
    <w:p w14:paraId="365702AD" w14:textId="1BC09B97" w:rsidR="00E64D2E" w:rsidRDefault="00405246">
      <w:pPr>
        <w:pStyle w:val="Cuerpodetexto"/>
        <w:numPr>
          <w:ilvl w:val="0"/>
          <w:numId w:val="6"/>
        </w:numPr>
        <w:rPr>
          <w:rFonts w:cs="Arial"/>
          <w:color w:val="000000"/>
          <w:sz w:val="22"/>
          <w:szCs w:val="22"/>
          <w:lang w:val="es-ES"/>
        </w:rPr>
      </w:pPr>
      <w:r>
        <w:rPr>
          <w:rFonts w:cs="Arial"/>
          <w:b/>
          <w:color w:val="000000"/>
          <w:sz w:val="22"/>
          <w:szCs w:val="22"/>
          <w:lang w:val="es-ES"/>
        </w:rPr>
        <w:t>Duración y tipo de consultoría</w:t>
      </w:r>
      <w:r>
        <w:rPr>
          <w:rFonts w:cs="Arial"/>
          <w:color w:val="000000"/>
          <w:sz w:val="22"/>
          <w:szCs w:val="22"/>
          <w:lang w:val="es-ES"/>
        </w:rPr>
        <w:t>.</w:t>
      </w:r>
      <w:r w:rsidR="00744BDF">
        <w:rPr>
          <w:rFonts w:cs="Arial"/>
          <w:color w:val="000000"/>
          <w:sz w:val="22"/>
          <w:szCs w:val="22"/>
          <w:lang w:val="es-ES"/>
        </w:rPr>
        <w:t xml:space="preserve"> El monto de la consultoría será de US$ 20 mil. </w:t>
      </w:r>
      <w:r>
        <w:rPr>
          <w:rFonts w:cs="Arial"/>
          <w:color w:val="000000"/>
          <w:sz w:val="22"/>
          <w:szCs w:val="22"/>
          <w:lang w:val="es-ES"/>
        </w:rPr>
        <w:t xml:space="preserve"> La consultoría </w:t>
      </w:r>
      <w:r w:rsidR="002B5654">
        <w:rPr>
          <w:rFonts w:cs="Arial"/>
          <w:color w:val="000000"/>
          <w:sz w:val="22"/>
          <w:szCs w:val="22"/>
          <w:lang w:val="es-ES"/>
        </w:rPr>
        <w:t xml:space="preserve"> </w:t>
      </w:r>
      <w:r>
        <w:rPr>
          <w:rFonts w:cs="Arial"/>
          <w:color w:val="000000"/>
          <w:sz w:val="22"/>
          <w:szCs w:val="22"/>
          <w:lang w:val="es-ES"/>
        </w:rPr>
        <w:t xml:space="preserve">tendrá una duración que no excederá los </w:t>
      </w:r>
      <w:r w:rsidR="00C93595">
        <w:rPr>
          <w:rFonts w:cs="Arial"/>
          <w:color w:val="000000"/>
          <w:sz w:val="22"/>
          <w:szCs w:val="22"/>
          <w:lang w:val="es-ES"/>
        </w:rPr>
        <w:t>1</w:t>
      </w:r>
      <w:r w:rsidR="00FC24DF">
        <w:rPr>
          <w:rFonts w:cs="Arial"/>
          <w:color w:val="000000"/>
          <w:sz w:val="22"/>
          <w:szCs w:val="22"/>
          <w:lang w:val="es-ES"/>
        </w:rPr>
        <w:t>0</w:t>
      </w:r>
      <w:r w:rsidR="00C93595">
        <w:rPr>
          <w:rFonts w:cs="Arial"/>
          <w:color w:val="000000"/>
          <w:sz w:val="22"/>
          <w:szCs w:val="22"/>
          <w:lang w:val="es-ES"/>
        </w:rPr>
        <w:t xml:space="preserve">0 </w:t>
      </w:r>
      <w:r>
        <w:rPr>
          <w:rFonts w:cs="Arial"/>
          <w:color w:val="000000"/>
          <w:sz w:val="22"/>
          <w:szCs w:val="22"/>
          <w:lang w:val="es-ES"/>
        </w:rPr>
        <w:t>días</w:t>
      </w:r>
      <w:r w:rsidR="00C93595">
        <w:rPr>
          <w:rFonts w:cs="Arial"/>
          <w:color w:val="000000"/>
          <w:sz w:val="22"/>
          <w:szCs w:val="22"/>
          <w:lang w:val="es-ES"/>
        </w:rPr>
        <w:t xml:space="preserve"> calendario</w:t>
      </w:r>
      <w:r>
        <w:rPr>
          <w:rFonts w:cs="Arial"/>
          <w:color w:val="000000"/>
          <w:sz w:val="22"/>
          <w:szCs w:val="22"/>
          <w:lang w:val="es-ES"/>
        </w:rPr>
        <w:t xml:space="preserve">. </w:t>
      </w:r>
      <w:r w:rsidR="00BF3C50">
        <w:rPr>
          <w:rFonts w:cs="Arial"/>
          <w:color w:val="000000"/>
          <w:sz w:val="22"/>
          <w:szCs w:val="22"/>
        </w:rPr>
        <w:t xml:space="preserve">Se </w:t>
      </w:r>
      <w:r w:rsidR="00C93595">
        <w:rPr>
          <w:rFonts w:cs="Arial"/>
          <w:color w:val="000000"/>
          <w:sz w:val="22"/>
          <w:szCs w:val="22"/>
        </w:rPr>
        <w:t xml:space="preserve"> presupuesta 80 días de esfuerzo del consultor. </w:t>
      </w:r>
    </w:p>
    <w:p w14:paraId="430E8987" w14:textId="77777777" w:rsidR="00E64D2E" w:rsidRDefault="00405246">
      <w:pPr>
        <w:pStyle w:val="Cuerpodetexto"/>
        <w:numPr>
          <w:ilvl w:val="0"/>
          <w:numId w:val="6"/>
        </w:numPr>
        <w:rPr>
          <w:rFonts w:cs="Arial"/>
          <w:color w:val="000000"/>
          <w:sz w:val="22"/>
          <w:szCs w:val="22"/>
          <w:lang w:val="es-ES"/>
        </w:rPr>
      </w:pPr>
      <w:r>
        <w:rPr>
          <w:rFonts w:cs="Arial"/>
          <w:b/>
          <w:color w:val="000000"/>
          <w:sz w:val="22"/>
          <w:szCs w:val="22"/>
          <w:lang w:val="es-ES"/>
        </w:rPr>
        <w:t>Pagos</w:t>
      </w:r>
      <w:r>
        <w:rPr>
          <w:rFonts w:cs="Arial"/>
          <w:color w:val="000000"/>
          <w:sz w:val="22"/>
          <w:szCs w:val="22"/>
          <w:lang w:val="es-ES"/>
        </w:rPr>
        <w:t xml:space="preserve">. Los pagos de la consultoría se realizarán según el siguiente cronograma: </w:t>
      </w:r>
    </w:p>
    <w:tbl>
      <w:tblPr>
        <w:tblW w:w="0" w:type="auto"/>
        <w:tblInd w:w="1055" w:type="dxa"/>
        <w:tblBorders>
          <w:top w:val="single" w:sz="4" w:space="0" w:color="000001"/>
          <w:left w:val="single" w:sz="4" w:space="0" w:color="000001"/>
          <w:bottom w:val="single" w:sz="4" w:space="0" w:color="000001"/>
          <w:right w:val="nil"/>
          <w:insideH w:val="single" w:sz="4" w:space="0" w:color="000001"/>
          <w:insideV w:val="nil"/>
        </w:tblBorders>
        <w:tblCellMar>
          <w:left w:w="83" w:type="dxa"/>
        </w:tblCellMar>
        <w:tblLook w:val="0000" w:firstRow="0" w:lastRow="0" w:firstColumn="0" w:lastColumn="0" w:noHBand="0" w:noVBand="0"/>
      </w:tblPr>
      <w:tblGrid>
        <w:gridCol w:w="1434"/>
        <w:gridCol w:w="3669"/>
        <w:gridCol w:w="2547"/>
      </w:tblGrid>
      <w:tr w:rsidR="00E64D2E" w14:paraId="31157414" w14:textId="77777777">
        <w:tc>
          <w:tcPr>
            <w:tcW w:w="1434" w:type="dxa"/>
            <w:tcBorders>
              <w:top w:val="single" w:sz="4" w:space="0" w:color="000001"/>
              <w:left w:val="single" w:sz="4" w:space="0" w:color="000001"/>
              <w:bottom w:val="single" w:sz="4" w:space="0" w:color="000001"/>
              <w:right w:val="nil"/>
            </w:tcBorders>
            <w:shd w:val="clear" w:color="auto" w:fill="FFFFFF"/>
            <w:tcMar>
              <w:left w:w="83" w:type="dxa"/>
            </w:tcMar>
          </w:tcPr>
          <w:p w14:paraId="1FBEE25A" w14:textId="77777777" w:rsidR="00E64D2E" w:rsidRDefault="00405246">
            <w:pPr>
              <w:pStyle w:val="Cuerpodetexto"/>
              <w:rPr>
                <w:rFonts w:cs="Arial"/>
                <w:color w:val="000000"/>
                <w:sz w:val="22"/>
                <w:szCs w:val="22"/>
                <w:lang w:val="es-ES"/>
              </w:rPr>
            </w:pPr>
            <w:r>
              <w:rPr>
                <w:rFonts w:cs="Arial"/>
                <w:color w:val="000000"/>
                <w:sz w:val="22"/>
                <w:szCs w:val="22"/>
                <w:lang w:val="es-ES"/>
              </w:rPr>
              <w:t xml:space="preserve">Pago </w:t>
            </w:r>
          </w:p>
        </w:tc>
        <w:tc>
          <w:tcPr>
            <w:tcW w:w="3669" w:type="dxa"/>
            <w:tcBorders>
              <w:top w:val="single" w:sz="4" w:space="0" w:color="000001"/>
              <w:left w:val="single" w:sz="4" w:space="0" w:color="000001"/>
              <w:bottom w:val="single" w:sz="4" w:space="0" w:color="000001"/>
              <w:right w:val="nil"/>
            </w:tcBorders>
            <w:shd w:val="clear" w:color="auto" w:fill="FFFFFF"/>
            <w:tcMar>
              <w:left w:w="83" w:type="dxa"/>
            </w:tcMar>
          </w:tcPr>
          <w:p w14:paraId="78FE5628" w14:textId="77777777" w:rsidR="00E64D2E" w:rsidRDefault="00405246">
            <w:pPr>
              <w:pStyle w:val="Cuerpodetexto"/>
              <w:rPr>
                <w:rFonts w:cs="Arial"/>
                <w:color w:val="000000"/>
                <w:sz w:val="22"/>
                <w:szCs w:val="22"/>
                <w:lang w:val="es-ES"/>
              </w:rPr>
            </w:pPr>
            <w:r>
              <w:rPr>
                <w:rFonts w:cs="Arial"/>
                <w:color w:val="000000"/>
                <w:sz w:val="22"/>
                <w:szCs w:val="22"/>
                <w:lang w:val="es-ES"/>
              </w:rPr>
              <w:t xml:space="preserve">Producto </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03C36F7" w14:textId="77777777" w:rsidR="00E64D2E" w:rsidRDefault="00405246">
            <w:pPr>
              <w:pStyle w:val="Cuerpodetexto"/>
              <w:rPr>
                <w:rFonts w:cs="Arial"/>
                <w:color w:val="000000"/>
                <w:sz w:val="22"/>
                <w:szCs w:val="22"/>
                <w:lang w:val="es-ES"/>
              </w:rPr>
            </w:pPr>
            <w:r>
              <w:rPr>
                <w:rFonts w:cs="Arial"/>
                <w:color w:val="000000"/>
                <w:sz w:val="22"/>
                <w:szCs w:val="22"/>
                <w:lang w:val="es-ES"/>
              </w:rPr>
              <w:t xml:space="preserve">Plazo </w:t>
            </w:r>
          </w:p>
        </w:tc>
      </w:tr>
      <w:tr w:rsidR="00E64D2E" w14:paraId="2C01CDFF" w14:textId="77777777">
        <w:trPr>
          <w:trHeight w:val="480"/>
        </w:trPr>
        <w:tc>
          <w:tcPr>
            <w:tcW w:w="1434" w:type="dxa"/>
            <w:tcBorders>
              <w:top w:val="single" w:sz="4" w:space="0" w:color="000001"/>
              <w:left w:val="single" w:sz="4" w:space="0" w:color="000001"/>
              <w:bottom w:val="single" w:sz="4" w:space="0" w:color="000001"/>
              <w:right w:val="nil"/>
            </w:tcBorders>
            <w:shd w:val="clear" w:color="auto" w:fill="FFFFFF"/>
            <w:tcMar>
              <w:left w:w="83" w:type="dxa"/>
            </w:tcMar>
          </w:tcPr>
          <w:p w14:paraId="1F12EEA5" w14:textId="77777777" w:rsidR="00E64D2E" w:rsidRDefault="00405246">
            <w:pPr>
              <w:pStyle w:val="Cuerpodetexto"/>
              <w:rPr>
                <w:rFonts w:cs="Arial"/>
                <w:color w:val="000000"/>
                <w:sz w:val="22"/>
                <w:szCs w:val="22"/>
                <w:lang w:val="es-ES"/>
              </w:rPr>
            </w:pPr>
            <w:r>
              <w:rPr>
                <w:rFonts w:cs="Arial"/>
                <w:color w:val="000000"/>
                <w:sz w:val="22"/>
                <w:szCs w:val="22"/>
                <w:lang w:val="es-ES"/>
              </w:rPr>
              <w:t>20%</w:t>
            </w:r>
          </w:p>
        </w:tc>
        <w:tc>
          <w:tcPr>
            <w:tcW w:w="3669" w:type="dxa"/>
            <w:tcBorders>
              <w:top w:val="single" w:sz="4" w:space="0" w:color="000001"/>
              <w:left w:val="single" w:sz="4" w:space="0" w:color="000001"/>
              <w:bottom w:val="single" w:sz="4" w:space="0" w:color="000001"/>
              <w:right w:val="nil"/>
            </w:tcBorders>
            <w:shd w:val="clear" w:color="auto" w:fill="FFFFFF"/>
            <w:tcMar>
              <w:left w:w="83" w:type="dxa"/>
            </w:tcMar>
          </w:tcPr>
          <w:p w14:paraId="3459FF71" w14:textId="77777777" w:rsidR="00E64D2E" w:rsidRDefault="00405246">
            <w:pPr>
              <w:pStyle w:val="Cuerpodetexto"/>
              <w:rPr>
                <w:rFonts w:cs="Arial"/>
                <w:color w:val="000000"/>
                <w:sz w:val="22"/>
                <w:szCs w:val="22"/>
                <w:lang w:val="es-ES"/>
              </w:rPr>
            </w:pPr>
            <w:r>
              <w:rPr>
                <w:rFonts w:cs="Arial"/>
                <w:color w:val="000000"/>
                <w:sz w:val="22"/>
                <w:szCs w:val="22"/>
                <w:lang w:val="es-ES"/>
              </w:rPr>
              <w:t xml:space="preserve">Primer informe </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BA9612C" w14:textId="471DB829" w:rsidR="00E64D2E" w:rsidRDefault="00FE61DD">
            <w:pPr>
              <w:pStyle w:val="Cuerpodetexto"/>
              <w:rPr>
                <w:rFonts w:cs="Arial"/>
                <w:color w:val="000000"/>
                <w:sz w:val="22"/>
                <w:szCs w:val="22"/>
                <w:lang w:val="es-ES"/>
              </w:rPr>
            </w:pPr>
            <w:r>
              <w:rPr>
                <w:rFonts w:cs="Arial"/>
                <w:color w:val="000000"/>
                <w:sz w:val="22"/>
                <w:szCs w:val="22"/>
                <w:lang w:val="es-ES"/>
              </w:rPr>
              <w:t xml:space="preserve">Máximo de </w:t>
            </w:r>
            <w:r w:rsidR="00F55E42">
              <w:rPr>
                <w:rFonts w:cs="Arial"/>
                <w:color w:val="000000"/>
                <w:sz w:val="22"/>
                <w:szCs w:val="22"/>
                <w:lang w:val="es-ES"/>
              </w:rPr>
              <w:t>2</w:t>
            </w:r>
            <w:r>
              <w:rPr>
                <w:rFonts w:cs="Arial"/>
                <w:color w:val="000000"/>
                <w:sz w:val="22"/>
                <w:szCs w:val="22"/>
                <w:lang w:val="es-ES"/>
              </w:rPr>
              <w:t>0</w:t>
            </w:r>
            <w:r w:rsidR="00405246">
              <w:rPr>
                <w:rFonts w:cs="Arial"/>
                <w:color w:val="000000"/>
                <w:sz w:val="22"/>
                <w:szCs w:val="22"/>
                <w:lang w:val="es-ES"/>
              </w:rPr>
              <w:t xml:space="preserve"> días de iniciada la Consultoría </w:t>
            </w:r>
          </w:p>
        </w:tc>
      </w:tr>
      <w:tr w:rsidR="00E64D2E" w14:paraId="0F9537AB" w14:textId="77777777">
        <w:trPr>
          <w:trHeight w:val="461"/>
        </w:trPr>
        <w:tc>
          <w:tcPr>
            <w:tcW w:w="1434" w:type="dxa"/>
            <w:tcBorders>
              <w:top w:val="single" w:sz="4" w:space="0" w:color="000001"/>
              <w:left w:val="single" w:sz="4" w:space="0" w:color="000001"/>
              <w:bottom w:val="single" w:sz="4" w:space="0" w:color="000001"/>
              <w:right w:val="nil"/>
            </w:tcBorders>
            <w:shd w:val="clear" w:color="auto" w:fill="FFFFFF"/>
            <w:tcMar>
              <w:left w:w="83" w:type="dxa"/>
            </w:tcMar>
          </w:tcPr>
          <w:p w14:paraId="5C487099" w14:textId="5A2EE199" w:rsidR="00E64D2E" w:rsidRDefault="00602AB9" w:rsidP="00602AB9">
            <w:pPr>
              <w:pStyle w:val="Cuerpodetexto"/>
              <w:rPr>
                <w:rFonts w:cs="Arial"/>
                <w:color w:val="000000"/>
                <w:sz w:val="22"/>
                <w:szCs w:val="22"/>
                <w:lang w:val="es-ES"/>
              </w:rPr>
            </w:pPr>
            <w:r>
              <w:rPr>
                <w:rFonts w:cs="Arial"/>
                <w:color w:val="000000"/>
                <w:sz w:val="22"/>
                <w:szCs w:val="22"/>
                <w:lang w:val="es-ES"/>
              </w:rPr>
              <w:t>35</w:t>
            </w:r>
            <w:r w:rsidR="00405246">
              <w:rPr>
                <w:rFonts w:cs="Arial"/>
                <w:color w:val="000000"/>
                <w:sz w:val="22"/>
                <w:szCs w:val="22"/>
                <w:lang w:val="es-ES"/>
              </w:rPr>
              <w:t>%</w:t>
            </w:r>
          </w:p>
        </w:tc>
        <w:tc>
          <w:tcPr>
            <w:tcW w:w="3669" w:type="dxa"/>
            <w:tcBorders>
              <w:top w:val="single" w:sz="4" w:space="0" w:color="000001"/>
              <w:left w:val="single" w:sz="4" w:space="0" w:color="000001"/>
              <w:bottom w:val="single" w:sz="4" w:space="0" w:color="000001"/>
              <w:right w:val="nil"/>
            </w:tcBorders>
            <w:shd w:val="clear" w:color="auto" w:fill="FFFFFF"/>
            <w:tcMar>
              <w:left w:w="83" w:type="dxa"/>
            </w:tcMar>
          </w:tcPr>
          <w:p w14:paraId="621489ED" w14:textId="77777777" w:rsidR="00E64D2E" w:rsidRDefault="00405246">
            <w:pPr>
              <w:pStyle w:val="Cuerpodetexto"/>
              <w:rPr>
                <w:rFonts w:cs="Arial"/>
                <w:color w:val="000000"/>
                <w:sz w:val="22"/>
                <w:szCs w:val="22"/>
                <w:lang w:val="es-ES"/>
              </w:rPr>
            </w:pPr>
            <w:r>
              <w:rPr>
                <w:rFonts w:cs="Arial"/>
                <w:color w:val="000000"/>
                <w:sz w:val="22"/>
                <w:szCs w:val="22"/>
                <w:lang w:val="es-ES"/>
              </w:rPr>
              <w:t xml:space="preserve">Segundo informe </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8FC3BF6" w14:textId="53918937" w:rsidR="00E64D2E" w:rsidRDefault="00405246" w:rsidP="00FC24DF">
            <w:pPr>
              <w:pStyle w:val="Cuerpodetexto"/>
              <w:rPr>
                <w:rFonts w:cs="Arial"/>
                <w:color w:val="000000"/>
                <w:sz w:val="22"/>
                <w:szCs w:val="22"/>
                <w:lang w:val="es-ES"/>
              </w:rPr>
            </w:pPr>
            <w:r>
              <w:rPr>
                <w:rFonts w:cs="Arial"/>
                <w:color w:val="000000"/>
                <w:sz w:val="22"/>
                <w:szCs w:val="22"/>
                <w:lang w:val="es-ES"/>
              </w:rPr>
              <w:t xml:space="preserve">Máximo de </w:t>
            </w:r>
            <w:r w:rsidR="00FC24DF">
              <w:rPr>
                <w:rFonts w:cs="Arial"/>
                <w:color w:val="000000"/>
                <w:sz w:val="22"/>
                <w:szCs w:val="22"/>
                <w:lang w:val="es-ES"/>
              </w:rPr>
              <w:t>60</w:t>
            </w:r>
            <w:r>
              <w:rPr>
                <w:rFonts w:cs="Arial"/>
                <w:color w:val="000000"/>
                <w:sz w:val="22"/>
                <w:szCs w:val="22"/>
                <w:lang w:val="es-ES"/>
              </w:rPr>
              <w:t xml:space="preserve"> días de iniciada la Consultoría</w:t>
            </w:r>
          </w:p>
        </w:tc>
      </w:tr>
      <w:tr w:rsidR="00605685" w14:paraId="3CFBD7F2" w14:textId="77777777">
        <w:tc>
          <w:tcPr>
            <w:tcW w:w="1434" w:type="dxa"/>
            <w:tcBorders>
              <w:top w:val="single" w:sz="4" w:space="0" w:color="000001"/>
              <w:left w:val="single" w:sz="4" w:space="0" w:color="000001"/>
              <w:bottom w:val="single" w:sz="4" w:space="0" w:color="000001"/>
              <w:right w:val="nil"/>
            </w:tcBorders>
            <w:shd w:val="clear" w:color="auto" w:fill="FFFFFF"/>
            <w:tcMar>
              <w:left w:w="83" w:type="dxa"/>
            </w:tcMar>
          </w:tcPr>
          <w:p w14:paraId="6A8552CA" w14:textId="1FB15D0F" w:rsidR="00605685" w:rsidRDefault="00605685">
            <w:pPr>
              <w:pStyle w:val="Cuerpodetexto"/>
              <w:rPr>
                <w:rFonts w:cs="Arial"/>
                <w:color w:val="000000"/>
                <w:sz w:val="22"/>
                <w:szCs w:val="22"/>
                <w:lang w:val="es-ES"/>
              </w:rPr>
            </w:pPr>
            <w:r>
              <w:rPr>
                <w:rFonts w:cs="Arial"/>
                <w:color w:val="000000"/>
                <w:sz w:val="22"/>
                <w:szCs w:val="22"/>
                <w:lang w:val="es-ES"/>
              </w:rPr>
              <w:t>45%</w:t>
            </w:r>
          </w:p>
        </w:tc>
        <w:tc>
          <w:tcPr>
            <w:tcW w:w="3669" w:type="dxa"/>
            <w:tcBorders>
              <w:top w:val="single" w:sz="4" w:space="0" w:color="000001"/>
              <w:left w:val="single" w:sz="4" w:space="0" w:color="000001"/>
              <w:bottom w:val="single" w:sz="4" w:space="0" w:color="000001"/>
              <w:right w:val="nil"/>
            </w:tcBorders>
            <w:shd w:val="clear" w:color="auto" w:fill="FFFFFF"/>
            <w:tcMar>
              <w:left w:w="83" w:type="dxa"/>
            </w:tcMar>
          </w:tcPr>
          <w:p w14:paraId="17C60E04" w14:textId="724BD672" w:rsidR="00605685" w:rsidRDefault="00605685">
            <w:pPr>
              <w:pStyle w:val="Cuerpodetexto"/>
              <w:rPr>
                <w:rFonts w:cs="Arial"/>
                <w:color w:val="000000"/>
                <w:sz w:val="22"/>
                <w:szCs w:val="22"/>
                <w:lang w:val="es-ES"/>
              </w:rPr>
            </w:pPr>
            <w:r>
              <w:rPr>
                <w:rFonts w:cs="Arial"/>
                <w:color w:val="000000"/>
                <w:sz w:val="22"/>
                <w:szCs w:val="22"/>
                <w:lang w:val="es-ES"/>
              </w:rPr>
              <w:t>Cuarto informe y no objeción de BID al Informe Final</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41461E2" w14:textId="626ED6FD" w:rsidR="00605685" w:rsidRDefault="00605685" w:rsidP="00FE61DD">
            <w:pPr>
              <w:pStyle w:val="Cuerpodetexto"/>
              <w:rPr>
                <w:rFonts w:cs="Arial"/>
                <w:color w:val="000000"/>
                <w:sz w:val="22"/>
                <w:szCs w:val="22"/>
                <w:lang w:val="es-ES"/>
              </w:rPr>
            </w:pPr>
            <w:r>
              <w:rPr>
                <w:rFonts w:cs="Arial"/>
                <w:color w:val="000000"/>
                <w:sz w:val="22"/>
                <w:szCs w:val="22"/>
                <w:lang w:val="es-ES"/>
              </w:rPr>
              <w:t>Máximo de 100 días de iniciada la Consultoría</w:t>
            </w:r>
          </w:p>
        </w:tc>
      </w:tr>
      <w:tr w:rsidR="00605685" w14:paraId="730EAAB9" w14:textId="77777777">
        <w:tc>
          <w:tcPr>
            <w:tcW w:w="1434" w:type="dxa"/>
            <w:tcBorders>
              <w:top w:val="single" w:sz="4" w:space="0" w:color="000001"/>
              <w:left w:val="single" w:sz="4" w:space="0" w:color="000001"/>
              <w:bottom w:val="single" w:sz="4" w:space="0" w:color="000001"/>
              <w:right w:val="nil"/>
            </w:tcBorders>
            <w:shd w:val="clear" w:color="auto" w:fill="FFFFFF"/>
            <w:tcMar>
              <w:left w:w="83" w:type="dxa"/>
            </w:tcMar>
          </w:tcPr>
          <w:p w14:paraId="24982546" w14:textId="4BF948DF" w:rsidR="00605685" w:rsidRDefault="00605685" w:rsidP="00602AB9">
            <w:pPr>
              <w:pStyle w:val="Cuerpodetexto"/>
              <w:rPr>
                <w:rFonts w:cs="Arial"/>
                <w:color w:val="000000"/>
                <w:sz w:val="22"/>
                <w:szCs w:val="22"/>
                <w:lang w:val="es-ES"/>
              </w:rPr>
            </w:pPr>
          </w:p>
        </w:tc>
        <w:tc>
          <w:tcPr>
            <w:tcW w:w="3669" w:type="dxa"/>
            <w:tcBorders>
              <w:top w:val="single" w:sz="4" w:space="0" w:color="000001"/>
              <w:left w:val="single" w:sz="4" w:space="0" w:color="000001"/>
              <w:bottom w:val="single" w:sz="4" w:space="0" w:color="000001"/>
              <w:right w:val="nil"/>
            </w:tcBorders>
            <w:shd w:val="clear" w:color="auto" w:fill="FFFFFF"/>
            <w:tcMar>
              <w:left w:w="83" w:type="dxa"/>
            </w:tcMar>
          </w:tcPr>
          <w:p w14:paraId="7BDAB768" w14:textId="356D76AB" w:rsidR="00605685" w:rsidRDefault="00605685">
            <w:pPr>
              <w:pStyle w:val="Cuerpodetexto"/>
              <w:rPr>
                <w:rFonts w:cs="Arial"/>
                <w:color w:val="000000"/>
                <w:sz w:val="22"/>
                <w:szCs w:val="22"/>
                <w:lang w:val="es-ES"/>
              </w:rPr>
            </w:pPr>
          </w:p>
        </w:tc>
        <w:tc>
          <w:tcPr>
            <w:tcW w:w="254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0BB0DD7" w14:textId="121CEF84" w:rsidR="00605685" w:rsidRDefault="00605685" w:rsidP="00FC24DF">
            <w:pPr>
              <w:pStyle w:val="Cuerpodetexto"/>
              <w:rPr>
                <w:rFonts w:cs="Arial"/>
                <w:color w:val="000000"/>
                <w:sz w:val="22"/>
                <w:szCs w:val="22"/>
                <w:lang w:val="es-ES"/>
              </w:rPr>
            </w:pPr>
          </w:p>
        </w:tc>
      </w:tr>
    </w:tbl>
    <w:p w14:paraId="14B86F33" w14:textId="77777777" w:rsidR="00E64D2E" w:rsidRDefault="00E64D2E">
      <w:pPr>
        <w:pStyle w:val="Cuerpodetexto"/>
      </w:pPr>
    </w:p>
    <w:p w14:paraId="028EB1E7" w14:textId="77777777" w:rsidR="00E64D2E" w:rsidRDefault="00405246">
      <w:pPr>
        <w:pStyle w:val="Cuerpodetexto"/>
        <w:rPr>
          <w:rFonts w:cs="Arial"/>
          <w:color w:val="000000"/>
          <w:sz w:val="22"/>
          <w:szCs w:val="22"/>
          <w:lang w:val="es-ES"/>
        </w:rPr>
      </w:pPr>
      <w:r>
        <w:rPr>
          <w:rFonts w:cs="Arial"/>
          <w:color w:val="000000"/>
          <w:sz w:val="22"/>
          <w:szCs w:val="22"/>
          <w:lang w:val="es-ES"/>
        </w:rPr>
        <w:t>Los informe deberán ser entregados impresos (1 original y una copia) y en medio magnético (</w:t>
      </w:r>
      <w:r>
        <w:rPr>
          <w:rFonts w:cs="Arial"/>
          <w:color w:val="000000"/>
          <w:sz w:val="18"/>
          <w:szCs w:val="18"/>
          <w:lang w:val="es-ES"/>
        </w:rPr>
        <w:t>CD, USB</w:t>
      </w:r>
      <w:r>
        <w:rPr>
          <w:rFonts w:cs="Arial"/>
          <w:color w:val="000000"/>
          <w:sz w:val="22"/>
          <w:szCs w:val="22"/>
          <w:lang w:val="es-ES"/>
        </w:rPr>
        <w:t>). La información en el medio magnético deberá contener los informes en procesador de textos Word y en hojas de cálculo Excel, además de la metodología empleada, base de datos y aplicaciones.</w:t>
      </w:r>
    </w:p>
    <w:p w14:paraId="374B8B23" w14:textId="77777777" w:rsidR="00E64D2E" w:rsidRDefault="00E64D2E">
      <w:pPr>
        <w:pStyle w:val="Cuerpodetexto"/>
      </w:pPr>
    </w:p>
    <w:p w14:paraId="68259B9A" w14:textId="77777777" w:rsidR="00E64D2E" w:rsidRDefault="00405246">
      <w:pPr>
        <w:pStyle w:val="Cuerpodetexto"/>
        <w:numPr>
          <w:ilvl w:val="0"/>
          <w:numId w:val="6"/>
        </w:numPr>
        <w:rPr>
          <w:rFonts w:cs="Arial"/>
          <w:color w:val="000000"/>
          <w:sz w:val="22"/>
          <w:szCs w:val="22"/>
          <w:lang w:val="es-ES"/>
        </w:rPr>
      </w:pPr>
      <w:r>
        <w:rPr>
          <w:rFonts w:cs="Arial"/>
          <w:b/>
          <w:color w:val="000000"/>
          <w:sz w:val="22"/>
          <w:szCs w:val="22"/>
          <w:lang w:val="es-ES"/>
        </w:rPr>
        <w:t>Calificaciones y experiencia</w:t>
      </w:r>
      <w:r>
        <w:rPr>
          <w:rFonts w:cs="Arial"/>
          <w:color w:val="000000"/>
          <w:sz w:val="22"/>
          <w:szCs w:val="22"/>
          <w:lang w:val="es-ES"/>
        </w:rPr>
        <w:t xml:space="preserve">. </w:t>
      </w:r>
    </w:p>
    <w:p w14:paraId="05CF4448" w14:textId="77777777" w:rsidR="00E64D2E" w:rsidRDefault="00405246">
      <w:pPr>
        <w:pStyle w:val="Cuerpodetexto"/>
        <w:rPr>
          <w:rFonts w:cs="Arial"/>
          <w:b/>
          <w:i/>
          <w:color w:val="000000"/>
          <w:sz w:val="22"/>
          <w:szCs w:val="22"/>
          <w:lang w:val="es-ES"/>
        </w:rPr>
      </w:pPr>
      <w:r>
        <w:rPr>
          <w:rFonts w:cs="Arial"/>
          <w:b/>
          <w:i/>
          <w:color w:val="000000"/>
          <w:sz w:val="22"/>
          <w:szCs w:val="22"/>
          <w:lang w:val="es-ES"/>
        </w:rPr>
        <w:t>Del consultor:</w:t>
      </w:r>
    </w:p>
    <w:p w14:paraId="7B7B2FC1" w14:textId="559C7330" w:rsidR="00E64D2E" w:rsidRDefault="00405246">
      <w:pPr>
        <w:pStyle w:val="Cuerpodetexto"/>
        <w:rPr>
          <w:rFonts w:eastAsia="Times" w:cs="Arial"/>
          <w:bCs/>
          <w:sz w:val="22"/>
          <w:szCs w:val="22"/>
          <w:lang w:eastAsia="es-ES"/>
        </w:rPr>
      </w:pPr>
      <w:r>
        <w:rPr>
          <w:rFonts w:eastAsia="Times" w:cs="Arial"/>
          <w:bCs/>
          <w:sz w:val="22"/>
          <w:szCs w:val="22"/>
          <w:lang w:eastAsia="es-ES"/>
        </w:rPr>
        <w:t>El consultor deberá ser abogado</w:t>
      </w:r>
      <w:r w:rsidR="00F55E42">
        <w:rPr>
          <w:rFonts w:eastAsia="Times" w:cs="Arial"/>
          <w:bCs/>
          <w:sz w:val="22"/>
          <w:szCs w:val="22"/>
          <w:lang w:eastAsia="es-ES"/>
        </w:rPr>
        <w:t xml:space="preserve">. De preferencia </w:t>
      </w:r>
      <w:r>
        <w:rPr>
          <w:rFonts w:eastAsia="Times" w:cs="Arial"/>
          <w:bCs/>
          <w:sz w:val="22"/>
          <w:szCs w:val="22"/>
          <w:lang w:eastAsia="es-ES"/>
        </w:rPr>
        <w:t>con postgrado en Derecho de la Propiedad Intelectual</w:t>
      </w:r>
      <w:r w:rsidR="00F55E42">
        <w:rPr>
          <w:rFonts w:eastAsia="Times" w:cs="Arial"/>
          <w:bCs/>
          <w:sz w:val="22"/>
          <w:szCs w:val="22"/>
          <w:lang w:eastAsia="es-ES"/>
        </w:rPr>
        <w:t xml:space="preserve"> o materias relacionadas.- Con </w:t>
      </w:r>
      <w:r>
        <w:rPr>
          <w:rFonts w:eastAsia="Times" w:cs="Arial"/>
          <w:bCs/>
          <w:sz w:val="22"/>
          <w:szCs w:val="22"/>
          <w:lang w:eastAsia="es-ES"/>
        </w:rPr>
        <w:t xml:space="preserve">experiencia en </w:t>
      </w:r>
      <w:r w:rsidR="00F55E42">
        <w:rPr>
          <w:rFonts w:eastAsia="Times" w:cs="Arial"/>
          <w:bCs/>
          <w:sz w:val="22"/>
          <w:szCs w:val="22"/>
          <w:lang w:eastAsia="es-ES"/>
        </w:rPr>
        <w:t xml:space="preserve">la gestión de la Propiedad Intelectual: </w:t>
      </w:r>
      <w:r>
        <w:rPr>
          <w:rFonts w:eastAsia="Times" w:cs="Arial"/>
          <w:bCs/>
          <w:sz w:val="22"/>
          <w:szCs w:val="22"/>
          <w:lang w:eastAsia="es-ES"/>
        </w:rPr>
        <w:t xml:space="preserve">registro de patentes, de preferencia en registro o </w:t>
      </w:r>
      <w:r w:rsidR="00FC24DF">
        <w:rPr>
          <w:rFonts w:eastAsia="Times" w:cs="Arial"/>
          <w:bCs/>
          <w:sz w:val="22"/>
          <w:szCs w:val="22"/>
          <w:lang w:eastAsia="es-ES"/>
        </w:rPr>
        <w:t xml:space="preserve">comercialización </w:t>
      </w:r>
      <w:r>
        <w:rPr>
          <w:rFonts w:eastAsia="Times" w:cs="Arial"/>
          <w:bCs/>
          <w:sz w:val="22"/>
          <w:szCs w:val="22"/>
          <w:lang w:eastAsia="es-ES"/>
        </w:rPr>
        <w:t xml:space="preserve">de resultados de investigación. Preferible con experiencia en consultorías similares y conocimiento en gestión de la innovación, derecho administrativo y/o gestión pública. </w:t>
      </w:r>
    </w:p>
    <w:p w14:paraId="3FE408C2" w14:textId="77777777" w:rsidR="00E64D2E" w:rsidRDefault="00E64D2E">
      <w:pPr>
        <w:pStyle w:val="Cuerpodetexto"/>
      </w:pPr>
    </w:p>
    <w:p w14:paraId="2E8306BE" w14:textId="244DEFB4" w:rsidR="00660E83" w:rsidRPr="00660E83" w:rsidRDefault="00660E83">
      <w:pPr>
        <w:pStyle w:val="Cuerpodetexto"/>
        <w:rPr>
          <w:b/>
        </w:rPr>
      </w:pPr>
      <w:r w:rsidRPr="00660E83">
        <w:rPr>
          <w:b/>
        </w:rPr>
        <w:t xml:space="preserve">Anexo – Estructura de Costos </w:t>
      </w:r>
    </w:p>
    <w:p w14:paraId="7780D3E5" w14:textId="598E236E" w:rsidR="00660E83" w:rsidRDefault="00660E83">
      <w:pPr>
        <w:pStyle w:val="Cuerpodetexto"/>
      </w:pPr>
      <w:r>
        <w:t>Consultor  US$ 18,500</w:t>
      </w:r>
    </w:p>
    <w:p w14:paraId="1863A17E" w14:textId="745CEF1F" w:rsidR="00660E83" w:rsidRDefault="00660E83">
      <w:pPr>
        <w:pStyle w:val="Cuerpodetexto"/>
      </w:pPr>
      <w:r>
        <w:t>Gastos de administración US$ 1,500</w:t>
      </w:r>
    </w:p>
    <w:sectPr w:rsidR="00660E83">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Times New">
    <w:panose1 w:val="00000000000000000000"/>
    <w:charset w:val="00"/>
    <w:family w:val="roman"/>
    <w:notTrueType/>
    <w:pitch w:val="default"/>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5215D"/>
    <w:multiLevelType w:val="multilevel"/>
    <w:tmpl w:val="6FE2D25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106D5F13"/>
    <w:multiLevelType w:val="multilevel"/>
    <w:tmpl w:val="2744E1F6"/>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288F4135"/>
    <w:multiLevelType w:val="multilevel"/>
    <w:tmpl w:val="5286727A"/>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38A1E51"/>
    <w:multiLevelType w:val="multilevel"/>
    <w:tmpl w:val="5EA8A582"/>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5743633E"/>
    <w:multiLevelType w:val="multilevel"/>
    <w:tmpl w:val="1BDAD1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6CFA0744"/>
    <w:multiLevelType w:val="multilevel"/>
    <w:tmpl w:val="BDB45AE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78D8385C"/>
    <w:multiLevelType w:val="multilevel"/>
    <w:tmpl w:val="B89CD71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7BBC22F4"/>
    <w:multiLevelType w:val="multilevel"/>
    <w:tmpl w:val="5286727A"/>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3"/>
  </w:num>
  <w:num w:numId="3">
    <w:abstractNumId w:val="6"/>
  </w:num>
  <w:num w:numId="4">
    <w:abstractNumId w:val="1"/>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643"/>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2E"/>
    <w:rsid w:val="00021B7D"/>
    <w:rsid w:val="001A4061"/>
    <w:rsid w:val="002B5654"/>
    <w:rsid w:val="003866C7"/>
    <w:rsid w:val="003F14EA"/>
    <w:rsid w:val="00405246"/>
    <w:rsid w:val="004D2177"/>
    <w:rsid w:val="005F5128"/>
    <w:rsid w:val="00602AB9"/>
    <w:rsid w:val="00605685"/>
    <w:rsid w:val="006357A7"/>
    <w:rsid w:val="00660E83"/>
    <w:rsid w:val="00710B0D"/>
    <w:rsid w:val="00744BDF"/>
    <w:rsid w:val="0089508E"/>
    <w:rsid w:val="008B1EA1"/>
    <w:rsid w:val="009A283B"/>
    <w:rsid w:val="00A52503"/>
    <w:rsid w:val="00A73335"/>
    <w:rsid w:val="00BF3C50"/>
    <w:rsid w:val="00C93595"/>
    <w:rsid w:val="00CD1B56"/>
    <w:rsid w:val="00CE430F"/>
    <w:rsid w:val="00D326A7"/>
    <w:rsid w:val="00E64D2E"/>
    <w:rsid w:val="00F55E42"/>
    <w:rsid w:val="00FC24DF"/>
    <w:rsid w:val="00FE61DD"/>
    <w:rsid w:val="00FF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AE2B"/>
  <w15:docId w15:val="{0525811F-CABC-45C0-B19F-0E28E431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 w:val="24"/>
        <w:szCs w:val="24"/>
        <w:lang w:val="es-P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pPr>
      <w:keepNext/>
      <w:shd w:val="clear" w:color="auto" w:fill="FFFFFF"/>
      <w:overflowPunct w:val="0"/>
      <w:spacing w:before="227" w:after="227"/>
      <w:textAlignment w:val="baseline"/>
      <w:outlineLvl w:val="0"/>
    </w:pPr>
    <w:rPr>
      <w:rFonts w:ascii="Arial" w:eastAsia="Calibri" w:hAnsi="Arial" w:cs="Times New Roman Bold;Times New"/>
      <w:b/>
      <w:sz w:val="28"/>
      <w:szCs w:val="28"/>
      <w:lang w:val="es-ES"/>
    </w:rPr>
  </w:style>
  <w:style w:type="paragraph" w:customStyle="1" w:styleId="Encabezado2">
    <w:name w:val="Encabezado 2"/>
    <w:basedOn w:val="Encabezado"/>
    <w:pPr>
      <w:spacing w:before="200"/>
      <w:outlineLvl w:val="1"/>
    </w:pPr>
    <w:rPr>
      <w:b/>
      <w:bCs/>
      <w:sz w:val="32"/>
      <w:szCs w:val="32"/>
    </w:rPr>
  </w:style>
  <w:style w:type="paragraph" w:customStyle="1" w:styleId="Encabezado3">
    <w:name w:val="Encabezado 3"/>
    <w:basedOn w:val="Encabezado"/>
    <w:pPr>
      <w:spacing w:before="140"/>
      <w:outlineLvl w:val="2"/>
    </w:pPr>
    <w:rPr>
      <w:b/>
      <w:bCs/>
      <w:color w:val="808080"/>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3z0">
    <w:name w:val="WW8Num23z0"/>
    <w:rPr>
      <w:rFonts w:ascii="Arial" w:hAnsi="Arial" w:cs="Arial"/>
      <w:b/>
      <w:smallCaps/>
      <w:sz w:val="22"/>
      <w:szCs w:val="22"/>
      <w:lang w:val="es-PE" w:eastAsia="es-PE"/>
    </w:rPr>
  </w:style>
  <w:style w:type="character" w:customStyle="1" w:styleId="WW8Num23z1">
    <w:name w:val="WW8Num23z1"/>
    <w:rPr>
      <w:rFonts w:ascii="Arial" w:hAnsi="Arial" w:cs="Arial"/>
      <w:b/>
      <w:color w:val="000000"/>
      <w:sz w:val="22"/>
      <w:szCs w:val="22"/>
      <w:lang w:val="es-ES"/>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8z0">
    <w:name w:val="WW8Num18z0"/>
    <w:rPr>
      <w:rFonts w:ascii="Symbol" w:hAnsi="Symbol" w:cs="Symbol"/>
      <w:lang w:val="es-E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8z0">
    <w:name w:val="WW8Num8z0"/>
    <w:rPr>
      <w:rFonts w:ascii="Symbol" w:eastAsia="Times" w:hAnsi="Symbol" w:cs="Symbol"/>
      <w:color w:val="000000"/>
      <w:sz w:val="22"/>
      <w:szCs w:val="22"/>
      <w:lang w:val="es-ES" w:eastAsia="es-ES"/>
    </w:rPr>
  </w:style>
  <w:style w:type="character" w:customStyle="1" w:styleId="WW8Num8z1">
    <w:name w:val="WW8Num8z1"/>
    <w:rPr>
      <w:rFonts w:ascii="Courier New" w:hAnsi="Courier New" w:cs="Courier New"/>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styleId="Refdecomentario">
    <w:name w:val="annotation reference"/>
    <w:rPr>
      <w:sz w:val="16"/>
      <w:szCs w:val="16"/>
    </w:rPr>
  </w:style>
  <w:style w:type="character" w:customStyle="1" w:styleId="WW8Num40z0">
    <w:name w:val="WW8Num40z0"/>
    <w:rPr>
      <w:rFonts w:ascii="Arial" w:hAnsi="Arial" w:cs="Arial"/>
      <w:b/>
      <w:color w:val="000000"/>
      <w:sz w:val="22"/>
      <w:szCs w:val="22"/>
      <w:lang w:val="es-ES"/>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ListLabel1">
    <w:name w:val="ListLabel 1"/>
    <w:rPr>
      <w:b/>
      <w:smallCaps/>
      <w:sz w:val="22"/>
      <w:szCs w:val="22"/>
    </w:rPr>
  </w:style>
  <w:style w:type="character" w:customStyle="1" w:styleId="ListLabel2">
    <w:name w:val="ListLabel 2"/>
    <w:rPr>
      <w:b/>
      <w:color w:val="000000"/>
      <w:sz w:val="22"/>
      <w:szCs w:val="22"/>
    </w:rPr>
  </w:style>
  <w:style w:type="character" w:customStyle="1" w:styleId="ListLabel3">
    <w:name w:val="ListLabel 3"/>
    <w:rPr>
      <w:rFonts w:cs="Symbol"/>
    </w:rPr>
  </w:style>
  <w:style w:type="character" w:customStyle="1" w:styleId="ListLabel4">
    <w:name w:val="ListLabel 4"/>
    <w:rPr>
      <w:rFonts w:cs="Symbol"/>
      <w:color w:val="000000"/>
      <w:sz w:val="22"/>
      <w:szCs w:val="22"/>
    </w:rPr>
  </w:style>
  <w:style w:type="character" w:customStyle="1" w:styleId="Vietas">
    <w:name w:val="Viñetas"/>
    <w:rPr>
      <w:rFonts w:ascii="OpenSymbol" w:eastAsia="OpenSymbol" w:hAnsi="OpenSymbol" w:cs="OpenSymbol"/>
    </w:rPr>
  </w:style>
  <w:style w:type="character" w:customStyle="1" w:styleId="ListLabel5">
    <w:name w:val="ListLabel 5"/>
    <w:rPr>
      <w:rFonts w:cs="Symbol"/>
    </w:rPr>
  </w:style>
  <w:style w:type="character" w:customStyle="1" w:styleId="ListLabel6">
    <w:name w:val="ListLabel 6"/>
    <w:rPr>
      <w:rFonts w:cs="Symbol"/>
    </w:rPr>
  </w:style>
  <w:style w:type="character" w:customStyle="1" w:styleId="ListLabel7">
    <w:name w:val="ListLabel 7"/>
    <w:rPr>
      <w:rFonts w:cs="Symbol"/>
    </w:rPr>
  </w:style>
  <w:style w:type="paragraph" w:styleId="Encabezado">
    <w:name w:val="header"/>
    <w:basedOn w:val="Normal"/>
    <w:next w:val="Cuerpodetexto"/>
    <w:pPr>
      <w:keepNext/>
      <w:spacing w:before="240" w:after="120"/>
    </w:pPr>
    <w:rPr>
      <w:rFonts w:ascii="Liberation Sans" w:eastAsia="Microsoft YaHei" w:hAnsi="Liberation Sans"/>
      <w:sz w:val="28"/>
      <w:szCs w:val="28"/>
    </w:rPr>
  </w:style>
  <w:style w:type="paragraph" w:customStyle="1" w:styleId="Cuerpodetexto">
    <w:name w:val="Cuerpo de texto"/>
    <w:basedOn w:val="Normal"/>
    <w:pPr>
      <w:spacing w:after="140" w:line="288" w:lineRule="auto"/>
      <w:jc w:val="both"/>
    </w:pPr>
    <w:rPr>
      <w:rFonts w:ascii="Arial" w:hAnsi="Arial"/>
    </w:r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 w:type="paragraph" w:styleId="Prrafodelista">
    <w:name w:val="List Paragraph"/>
    <w:basedOn w:val="Normal"/>
    <w:qFormat/>
    <w:pPr>
      <w:ind w:left="720"/>
      <w:contextualSpacing/>
      <w:jc w:val="both"/>
    </w:pPr>
    <w:rPr>
      <w:szCs w:val="20"/>
    </w:rPr>
  </w:style>
  <w:style w:type="paragraph" w:styleId="Cita">
    <w:name w:val="Quote"/>
    <w:basedOn w:val="Normal"/>
    <w:pPr>
      <w:spacing w:after="283"/>
      <w:ind w:left="567" w:right="567"/>
    </w:pPr>
  </w:style>
  <w:style w:type="paragraph" w:customStyle="1" w:styleId="Ttulo">
    <w:name w:val="Título"/>
    <w:basedOn w:val="Encabezado"/>
    <w:pPr>
      <w:jc w:val="center"/>
    </w:pPr>
    <w:rPr>
      <w:b/>
      <w:bCs/>
      <w:sz w:val="56"/>
      <w:szCs w:val="56"/>
    </w:rPr>
  </w:style>
  <w:style w:type="paragraph" w:styleId="Subttulo">
    <w:name w:val="Subtitle"/>
    <w:basedOn w:val="Encabezado"/>
    <w:pPr>
      <w:spacing w:before="60"/>
      <w:jc w:val="center"/>
    </w:pPr>
    <w:rPr>
      <w:sz w:val="36"/>
      <w:szCs w:val="36"/>
    </w:rPr>
  </w:style>
  <w:style w:type="numbering" w:customStyle="1" w:styleId="WW8Num16">
    <w:name w:val="WW8Num16"/>
  </w:style>
  <w:style w:type="numbering" w:customStyle="1" w:styleId="WW8Num23">
    <w:name w:val="WW8Num23"/>
  </w:style>
  <w:style w:type="numbering" w:customStyle="1" w:styleId="WW8Num18">
    <w:name w:val="WW8Num18"/>
  </w:style>
  <w:style w:type="numbering" w:customStyle="1" w:styleId="WW8Num8">
    <w:name w:val="WW8Num8"/>
  </w:style>
  <w:style w:type="numbering" w:customStyle="1" w:styleId="WW8Num40">
    <w:name w:val="WW8Num40"/>
  </w:style>
  <w:style w:type="paragraph" w:styleId="Textocomentario">
    <w:name w:val="annotation text"/>
    <w:basedOn w:val="Normal"/>
    <w:link w:val="TextocomentarioCar"/>
    <w:uiPriority w:val="99"/>
    <w:semiHidden/>
    <w:unhideWhenUsed/>
    <w:rsid w:val="00A73335"/>
    <w:rPr>
      <w:sz w:val="20"/>
      <w:szCs w:val="18"/>
    </w:rPr>
  </w:style>
  <w:style w:type="character" w:customStyle="1" w:styleId="TextocomentarioCar">
    <w:name w:val="Texto comentario Car"/>
    <w:basedOn w:val="Fuentedeprrafopredeter"/>
    <w:link w:val="Textocomentario"/>
    <w:uiPriority w:val="99"/>
    <w:semiHidden/>
    <w:rsid w:val="00A73335"/>
    <w:rPr>
      <w:color w:val="00000A"/>
      <w:sz w:val="20"/>
      <w:szCs w:val="18"/>
    </w:rPr>
  </w:style>
  <w:style w:type="paragraph" w:styleId="Asuntodelcomentario">
    <w:name w:val="annotation subject"/>
    <w:basedOn w:val="Textocomentario"/>
    <w:next w:val="Textocomentario"/>
    <w:link w:val="AsuntodelcomentarioCar"/>
    <w:uiPriority w:val="99"/>
    <w:semiHidden/>
    <w:unhideWhenUsed/>
    <w:rsid w:val="00A73335"/>
    <w:rPr>
      <w:b/>
      <w:bCs/>
    </w:rPr>
  </w:style>
  <w:style w:type="character" w:customStyle="1" w:styleId="AsuntodelcomentarioCar">
    <w:name w:val="Asunto del comentario Car"/>
    <w:basedOn w:val="TextocomentarioCar"/>
    <w:link w:val="Asuntodelcomentario"/>
    <w:uiPriority w:val="99"/>
    <w:semiHidden/>
    <w:rsid w:val="00A73335"/>
    <w:rPr>
      <w:b/>
      <w:bCs/>
      <w:color w:val="00000A"/>
      <w:sz w:val="20"/>
      <w:szCs w:val="18"/>
    </w:rPr>
  </w:style>
  <w:style w:type="paragraph" w:styleId="Textodeglobo">
    <w:name w:val="Balloon Text"/>
    <w:basedOn w:val="Normal"/>
    <w:link w:val="TextodegloboCar"/>
    <w:uiPriority w:val="99"/>
    <w:semiHidden/>
    <w:unhideWhenUsed/>
    <w:rsid w:val="00A73335"/>
    <w:rPr>
      <w:rFonts w:ascii="Tahoma" w:hAnsi="Tahoma"/>
      <w:sz w:val="16"/>
      <w:szCs w:val="14"/>
    </w:rPr>
  </w:style>
  <w:style w:type="character" w:customStyle="1" w:styleId="TextodegloboCar">
    <w:name w:val="Texto de globo Car"/>
    <w:basedOn w:val="Fuentedeprrafopredeter"/>
    <w:link w:val="Textodeglobo"/>
    <w:uiPriority w:val="99"/>
    <w:semiHidden/>
    <w:rsid w:val="00A73335"/>
    <w:rPr>
      <w:rFonts w:ascii="Tahoma" w:hAnsi="Tahoma"/>
      <w:color w:val="00000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02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7AF16-462B-4127-A16E-AB3BE943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6829</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Inter-American Development Bank</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Julio Gutiérrez Rodríguez</dc:creator>
  <cp:lastModifiedBy>Raquel Munoz</cp:lastModifiedBy>
  <cp:revision>2</cp:revision>
  <cp:lastPrinted>2014-05-13T18:13:00Z</cp:lastPrinted>
  <dcterms:created xsi:type="dcterms:W3CDTF">2014-07-09T19:28:00Z</dcterms:created>
  <dcterms:modified xsi:type="dcterms:W3CDTF">2014-07-09T19:28:00Z</dcterms:modified>
  <dc:language>es-PE</dc:language>
</cp:coreProperties>
</file>